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4DD" w:rsidRPr="00926FDF" w:rsidRDefault="009854DD" w:rsidP="00926FDF">
      <w:pPr>
        <w:spacing w:line="480" w:lineRule="auto"/>
        <w:jc w:val="both"/>
        <w:rPr>
          <w:rFonts w:ascii="Times New Roman" w:hAnsi="Times New Roman"/>
          <w:sz w:val="24"/>
          <w:szCs w:val="24"/>
        </w:rPr>
      </w:pPr>
    </w:p>
    <w:p w:rsidR="00EC035A" w:rsidRPr="00926FDF" w:rsidRDefault="00EC035A" w:rsidP="00926FDF">
      <w:pPr>
        <w:spacing w:line="480" w:lineRule="auto"/>
        <w:jc w:val="both"/>
        <w:rPr>
          <w:rFonts w:ascii="Times New Roman" w:hAnsi="Times New Roman"/>
          <w:sz w:val="24"/>
          <w:szCs w:val="24"/>
        </w:rPr>
      </w:pPr>
    </w:p>
    <w:p w:rsidR="00EC035A" w:rsidRPr="00926FDF" w:rsidRDefault="00EC035A" w:rsidP="00926FDF">
      <w:pPr>
        <w:spacing w:line="480" w:lineRule="auto"/>
        <w:jc w:val="both"/>
        <w:rPr>
          <w:rFonts w:ascii="Times New Roman" w:hAnsi="Times New Roman"/>
          <w:sz w:val="24"/>
          <w:szCs w:val="24"/>
        </w:rPr>
      </w:pPr>
    </w:p>
    <w:p w:rsidR="00EC035A" w:rsidRPr="00926FDF" w:rsidRDefault="00EC035A" w:rsidP="00926FDF">
      <w:pPr>
        <w:spacing w:line="480" w:lineRule="auto"/>
        <w:jc w:val="both"/>
        <w:rPr>
          <w:rFonts w:ascii="Times New Roman" w:hAnsi="Times New Roman"/>
          <w:sz w:val="24"/>
          <w:szCs w:val="24"/>
        </w:rPr>
      </w:pPr>
    </w:p>
    <w:p w:rsidR="00EC035A" w:rsidRPr="00926FDF" w:rsidRDefault="00EC035A" w:rsidP="00926FDF">
      <w:pPr>
        <w:spacing w:line="480" w:lineRule="auto"/>
        <w:jc w:val="both"/>
        <w:rPr>
          <w:rFonts w:ascii="Times New Roman" w:hAnsi="Times New Roman"/>
          <w:sz w:val="24"/>
          <w:szCs w:val="24"/>
        </w:rPr>
      </w:pPr>
    </w:p>
    <w:p w:rsidR="00EC035A" w:rsidRPr="00926FDF" w:rsidRDefault="00EC035A" w:rsidP="00926FDF">
      <w:pPr>
        <w:spacing w:line="480" w:lineRule="auto"/>
        <w:jc w:val="both"/>
        <w:rPr>
          <w:rFonts w:ascii="Times New Roman" w:hAnsi="Times New Roman"/>
          <w:sz w:val="24"/>
          <w:szCs w:val="24"/>
        </w:rPr>
      </w:pPr>
    </w:p>
    <w:p w:rsidR="00EC035A" w:rsidRPr="00926FDF" w:rsidRDefault="00EC035A" w:rsidP="00926FDF">
      <w:pPr>
        <w:spacing w:line="480" w:lineRule="auto"/>
        <w:jc w:val="both"/>
        <w:rPr>
          <w:rFonts w:ascii="Times New Roman" w:hAnsi="Times New Roman"/>
          <w:sz w:val="24"/>
          <w:szCs w:val="24"/>
        </w:rPr>
      </w:pPr>
    </w:p>
    <w:p w:rsidR="00EC035A" w:rsidRPr="00926FDF" w:rsidRDefault="00EC035A" w:rsidP="00926FDF">
      <w:pPr>
        <w:spacing w:line="480" w:lineRule="auto"/>
        <w:jc w:val="both"/>
        <w:rPr>
          <w:rFonts w:ascii="Times New Roman" w:hAnsi="Times New Roman"/>
          <w:sz w:val="24"/>
          <w:szCs w:val="24"/>
        </w:rPr>
      </w:pPr>
    </w:p>
    <w:p w:rsidR="00EC035A" w:rsidRPr="00926FDF" w:rsidRDefault="00EC035A" w:rsidP="00926FDF">
      <w:pPr>
        <w:spacing w:line="480" w:lineRule="auto"/>
        <w:jc w:val="both"/>
        <w:rPr>
          <w:rFonts w:ascii="Times New Roman" w:hAnsi="Times New Roman"/>
          <w:sz w:val="24"/>
          <w:szCs w:val="24"/>
        </w:rPr>
      </w:pPr>
    </w:p>
    <w:p w:rsidR="00EC035A" w:rsidRPr="00926FDF" w:rsidRDefault="00EC035A" w:rsidP="00926FDF">
      <w:pPr>
        <w:spacing w:line="480" w:lineRule="auto"/>
        <w:jc w:val="both"/>
        <w:rPr>
          <w:rFonts w:ascii="Times New Roman" w:hAnsi="Times New Roman"/>
          <w:sz w:val="24"/>
          <w:szCs w:val="24"/>
        </w:rPr>
      </w:pPr>
    </w:p>
    <w:p w:rsidR="00EC035A" w:rsidRPr="00926FDF" w:rsidRDefault="00EC035A" w:rsidP="00926FDF">
      <w:pPr>
        <w:pStyle w:val="Header"/>
        <w:spacing w:line="480" w:lineRule="auto"/>
        <w:jc w:val="center"/>
        <w:rPr>
          <w:rFonts w:ascii="Times New Roman" w:hAnsi="Times New Roman"/>
          <w:caps/>
          <w:sz w:val="24"/>
          <w:szCs w:val="24"/>
        </w:rPr>
      </w:pPr>
      <w:bookmarkStart w:id="0" w:name="_Hlk520554426"/>
      <w:r w:rsidRPr="00926FDF">
        <w:rPr>
          <w:rFonts w:ascii="Times New Roman" w:hAnsi="Times New Roman"/>
          <w:caps/>
          <w:sz w:val="24"/>
          <w:szCs w:val="24"/>
        </w:rPr>
        <w:t>Root-Cause Analysis and SAFETY Improvement Plan</w:t>
      </w:r>
    </w:p>
    <w:bookmarkEnd w:id="0"/>
    <w:p w:rsidR="00EC035A" w:rsidRPr="00926FDF" w:rsidRDefault="00EC035A" w:rsidP="00926FDF">
      <w:pPr>
        <w:spacing w:line="480" w:lineRule="auto"/>
        <w:jc w:val="center"/>
        <w:rPr>
          <w:rFonts w:ascii="Times New Roman" w:hAnsi="Times New Roman"/>
          <w:sz w:val="24"/>
          <w:szCs w:val="24"/>
        </w:rPr>
      </w:pPr>
      <w:r w:rsidRPr="00926FDF">
        <w:rPr>
          <w:rFonts w:ascii="Times New Roman" w:hAnsi="Times New Roman"/>
          <w:sz w:val="24"/>
          <w:szCs w:val="24"/>
        </w:rPr>
        <w:t>Student Name</w:t>
      </w:r>
    </w:p>
    <w:p w:rsidR="00EC035A" w:rsidRPr="00926FDF" w:rsidRDefault="00EC035A" w:rsidP="00926FDF">
      <w:pPr>
        <w:spacing w:line="480" w:lineRule="auto"/>
        <w:jc w:val="center"/>
        <w:rPr>
          <w:rFonts w:ascii="Times New Roman" w:hAnsi="Times New Roman"/>
          <w:sz w:val="24"/>
          <w:szCs w:val="24"/>
        </w:rPr>
      </w:pPr>
      <w:r w:rsidRPr="00926FDF">
        <w:rPr>
          <w:rFonts w:ascii="Times New Roman" w:hAnsi="Times New Roman"/>
          <w:sz w:val="24"/>
          <w:szCs w:val="24"/>
        </w:rPr>
        <w:t>Instructor Name</w:t>
      </w:r>
    </w:p>
    <w:p w:rsidR="00EC035A" w:rsidRPr="00926FDF" w:rsidRDefault="00EC035A" w:rsidP="00926FDF">
      <w:pPr>
        <w:spacing w:line="480" w:lineRule="auto"/>
        <w:jc w:val="center"/>
        <w:rPr>
          <w:rFonts w:ascii="Times New Roman" w:hAnsi="Times New Roman"/>
          <w:sz w:val="24"/>
          <w:szCs w:val="24"/>
        </w:rPr>
      </w:pPr>
      <w:r w:rsidRPr="00926FDF">
        <w:rPr>
          <w:rFonts w:ascii="Times New Roman" w:hAnsi="Times New Roman"/>
          <w:sz w:val="24"/>
          <w:szCs w:val="24"/>
        </w:rPr>
        <w:t>University Name</w:t>
      </w:r>
    </w:p>
    <w:p w:rsidR="00EC035A" w:rsidRPr="00926FDF" w:rsidRDefault="00EC035A" w:rsidP="00926FDF">
      <w:pPr>
        <w:spacing w:line="480" w:lineRule="auto"/>
        <w:jc w:val="center"/>
        <w:rPr>
          <w:rFonts w:ascii="Times New Roman" w:hAnsi="Times New Roman"/>
          <w:sz w:val="24"/>
          <w:szCs w:val="24"/>
        </w:rPr>
      </w:pPr>
      <w:r w:rsidRPr="00926FDF">
        <w:rPr>
          <w:rFonts w:ascii="Times New Roman" w:hAnsi="Times New Roman"/>
          <w:sz w:val="24"/>
          <w:szCs w:val="24"/>
        </w:rPr>
        <w:t>14, July, 2020</w:t>
      </w:r>
    </w:p>
    <w:p w:rsidR="00EC035A" w:rsidRPr="00926FDF" w:rsidRDefault="00EC035A" w:rsidP="00926FDF">
      <w:pPr>
        <w:pStyle w:val="Header"/>
        <w:spacing w:line="480" w:lineRule="auto"/>
        <w:jc w:val="both"/>
        <w:rPr>
          <w:rFonts w:ascii="Times New Roman" w:hAnsi="Times New Roman"/>
          <w:caps/>
          <w:sz w:val="24"/>
          <w:szCs w:val="24"/>
        </w:rPr>
      </w:pPr>
    </w:p>
    <w:p w:rsidR="00EC035A" w:rsidRPr="00926FDF" w:rsidRDefault="00EC035A" w:rsidP="00926FDF">
      <w:pPr>
        <w:spacing w:line="480" w:lineRule="auto"/>
        <w:jc w:val="both"/>
        <w:rPr>
          <w:rFonts w:ascii="Times New Roman" w:hAnsi="Times New Roman"/>
          <w:sz w:val="24"/>
          <w:szCs w:val="24"/>
        </w:rPr>
      </w:pPr>
      <w:r w:rsidRPr="00926FDF">
        <w:rPr>
          <w:rFonts w:ascii="Times New Roman" w:hAnsi="Times New Roman"/>
          <w:sz w:val="24"/>
          <w:szCs w:val="24"/>
        </w:rPr>
        <w:br w:type="page"/>
      </w:r>
    </w:p>
    <w:p w:rsidR="0046010D" w:rsidRPr="00926FDF" w:rsidRDefault="0046010D" w:rsidP="00926FDF">
      <w:pPr>
        <w:pStyle w:val="NormalWeb"/>
        <w:spacing w:before="0" w:beforeAutospacing="0" w:after="0" w:afterAutospacing="0" w:line="480" w:lineRule="auto"/>
        <w:jc w:val="both"/>
        <w:rPr>
          <w:color w:val="0E101A"/>
        </w:rPr>
      </w:pPr>
    </w:p>
    <w:p w:rsidR="0046010D" w:rsidRPr="00926FDF" w:rsidRDefault="0046010D" w:rsidP="00926FDF">
      <w:pPr>
        <w:pStyle w:val="NormalWeb"/>
        <w:spacing w:before="0" w:beforeAutospacing="0" w:after="0" w:afterAutospacing="0" w:line="480" w:lineRule="auto"/>
        <w:jc w:val="both"/>
        <w:rPr>
          <w:color w:val="0E101A"/>
        </w:rPr>
      </w:pPr>
      <w:r w:rsidRPr="00926FDF">
        <w:rPr>
          <w:color w:val="0E101A"/>
        </w:rPr>
        <w:t>Medical error is an avoidable adverse effect of care that, whether known or not, can be detrimental to the patient. Drug error is one of the leading medical errors, often preventable, which can occur at different stages of a patient's treatment (Yusef, N., &amp; Yuseph, F, 2017.) An incident in which a patient received four times within the facility caused us the amount of a control substance due to an input error. This analysis will shed light on the causes of drug errors, at what stage they are prescribed, the different types and ways to prevent them.</w:t>
      </w:r>
    </w:p>
    <w:p w:rsidR="0046010D" w:rsidRPr="00926FDF" w:rsidRDefault="0046010D" w:rsidP="00926FDF">
      <w:pPr>
        <w:pStyle w:val="Heading2"/>
        <w:spacing w:before="0" w:line="480" w:lineRule="auto"/>
        <w:jc w:val="both"/>
        <w:rPr>
          <w:rFonts w:ascii="Times New Roman" w:hAnsi="Times New Roman"/>
          <w:color w:val="0E101A"/>
          <w:sz w:val="24"/>
          <w:szCs w:val="24"/>
        </w:rPr>
      </w:pPr>
      <w:r w:rsidRPr="00926FDF">
        <w:rPr>
          <w:rStyle w:val="Strong"/>
          <w:rFonts w:ascii="Times New Roman" w:hAnsi="Times New Roman"/>
          <w:bCs w:val="0"/>
          <w:color w:val="0E101A"/>
          <w:sz w:val="24"/>
          <w:szCs w:val="24"/>
        </w:rPr>
        <w:t>Analysis of the Root Cause</w:t>
      </w:r>
    </w:p>
    <w:p w:rsidR="0046010D" w:rsidRPr="00926FDF" w:rsidRDefault="0046010D" w:rsidP="00926FDF">
      <w:pPr>
        <w:pStyle w:val="NormalWeb"/>
        <w:spacing w:before="0" w:beforeAutospacing="0" w:after="0" w:afterAutospacing="0" w:line="480" w:lineRule="auto"/>
        <w:jc w:val="both"/>
        <w:rPr>
          <w:color w:val="0E101A"/>
        </w:rPr>
      </w:pPr>
      <w:r w:rsidRPr="00926FDF">
        <w:rPr>
          <w:color w:val="0E101A"/>
        </w:rPr>
        <w:t>In a rehabilitation setting, when caring for as pregnant female withdrawing from opiates IV usage that has returned from the emergency with the diagnosis of possible spontaneous abortion. Upon the initial assessment of the shift, the patient appeared severally lethargic, causing to review of chart notes to obtain a clearer picture of the patient’s baseline. We noticed that her home medication did not correlate with MAR while reviewing the patient’s chart. The discrepancies causing the most concern was having a prescription of Suboxone 8 mg-2mg sublingual film ½ BID but receiving Buprenophrine 8mg 2 Sub BID. The first action was to read up on that medication, considering the possibility that the conversion rate might be the reason behind the difference in unit amount. After not being able to find a satisfying answer, the next approach was consulting with the medication nurse. We reviewed the chart, all entries of documentation, medication handbook, and could not come to a rational explanation of why the patient has been receiving four times her normal dose for the past four days. Once the Provider, who entered the order, was contacted, it was evident that it was an error. An internal investigation was started, concerning the cause of that error and if it might result in an abortion. </w:t>
      </w:r>
    </w:p>
    <w:p w:rsidR="00E833AD" w:rsidRPr="00926FDF" w:rsidRDefault="0046010D" w:rsidP="00926FDF">
      <w:pPr>
        <w:pStyle w:val="NormalWeb"/>
        <w:spacing w:before="0" w:beforeAutospacing="0" w:after="0" w:afterAutospacing="0" w:line="480" w:lineRule="auto"/>
        <w:jc w:val="both"/>
        <w:rPr>
          <w:color w:val="0E101A"/>
        </w:rPr>
      </w:pPr>
      <w:r w:rsidRPr="00926FDF">
        <w:rPr>
          <w:color w:val="0E101A"/>
        </w:rPr>
        <w:br w:type="page"/>
      </w:r>
    </w:p>
    <w:p w:rsidR="00E833AD" w:rsidRPr="00926FDF" w:rsidRDefault="00E833AD" w:rsidP="00926FDF">
      <w:pPr>
        <w:pStyle w:val="NormalWeb"/>
        <w:spacing w:before="0" w:beforeAutospacing="0" w:after="0" w:afterAutospacing="0" w:line="480" w:lineRule="auto"/>
        <w:jc w:val="both"/>
        <w:rPr>
          <w:color w:val="0E101A"/>
        </w:rPr>
      </w:pPr>
    </w:p>
    <w:p w:rsidR="0046010D" w:rsidRPr="00926FDF" w:rsidRDefault="0046010D" w:rsidP="00926FDF">
      <w:pPr>
        <w:pStyle w:val="NormalWeb"/>
        <w:spacing w:before="0" w:beforeAutospacing="0" w:after="0" w:afterAutospacing="0" w:line="480" w:lineRule="auto"/>
        <w:jc w:val="both"/>
        <w:rPr>
          <w:color w:val="0E101A"/>
        </w:rPr>
      </w:pPr>
      <w:r w:rsidRPr="00926FDF">
        <w:rPr>
          <w:color w:val="0E101A"/>
        </w:rPr>
        <w:t>Considering the adverse implications of error in such patients, a root-cause analysis was conducted on the case. The analysis aimed to understand the cause of the error. The analysis was conducted by a team of five experts including clinicians, supervisors, and quality improvement personnel. A timeline of the event under review is created. The preliminary information gathered is shared with the team and other details about the event are elicited from team members. The event occurred for four days. </w:t>
      </w:r>
      <w:r w:rsidRPr="00926FDF">
        <w:rPr>
          <w:rStyle w:val="Emphasis"/>
          <w:i w:val="0"/>
          <w:color w:val="0E101A"/>
        </w:rPr>
        <w:t>Suboxone </w:t>
      </w:r>
      <w:r w:rsidRPr="00926FDF">
        <w:rPr>
          <w:color w:val="0E101A"/>
        </w:rPr>
        <w:t>contains two drugs includes buprenorphine and naloxone. It’s used to treat dependence on opiates. The patient was withdrawing from opiates and this medication was prescribed. </w:t>
      </w:r>
    </w:p>
    <w:p w:rsidR="0046010D" w:rsidRPr="00926FDF" w:rsidRDefault="0046010D" w:rsidP="00926FDF">
      <w:pPr>
        <w:pStyle w:val="NormalWeb"/>
        <w:spacing w:before="0" w:beforeAutospacing="0" w:after="0" w:afterAutospacing="0" w:line="480" w:lineRule="auto"/>
        <w:jc w:val="both"/>
        <w:rPr>
          <w:color w:val="0E101A"/>
        </w:rPr>
      </w:pPr>
    </w:p>
    <w:p w:rsidR="0046010D" w:rsidRPr="00926FDF" w:rsidRDefault="0046010D" w:rsidP="00926FDF">
      <w:pPr>
        <w:pStyle w:val="NormalWeb"/>
        <w:spacing w:before="0" w:beforeAutospacing="0" w:after="0" w:afterAutospacing="0" w:line="480" w:lineRule="auto"/>
        <w:jc w:val="both"/>
        <w:rPr>
          <w:color w:val="0E101A"/>
        </w:rPr>
      </w:pPr>
      <w:r w:rsidRPr="00926FDF">
        <w:rPr>
          <w:color w:val="0E101A"/>
        </w:rPr>
        <w:t>Pregnant women with use disorder are typically maintained on opiates medication through pregnancy, the medication harms the baby. Overdose can lead to the death or abortion of the baby. Neonatal abstinence syndrome (NAS) occurs when pregnant women take opiates drugs during pregnancy, and the baby is born dependent on them.</w:t>
      </w:r>
    </w:p>
    <w:p w:rsidR="0046010D" w:rsidRPr="00926FDF" w:rsidRDefault="00747636" w:rsidP="00926FDF">
      <w:pPr>
        <w:pStyle w:val="NormalWeb"/>
        <w:tabs>
          <w:tab w:val="left" w:pos="7995"/>
        </w:tabs>
        <w:spacing w:before="0" w:beforeAutospacing="0" w:after="0" w:afterAutospacing="0" w:line="480" w:lineRule="auto"/>
        <w:jc w:val="both"/>
        <w:rPr>
          <w:color w:val="0E101A"/>
        </w:rPr>
      </w:pPr>
      <w:r w:rsidRPr="00926FDF">
        <w:rPr>
          <w:color w:val="0E101A"/>
        </w:rPr>
        <w:tab/>
      </w:r>
    </w:p>
    <w:p w:rsidR="0046010D" w:rsidRPr="00926FDF" w:rsidRDefault="0046010D" w:rsidP="00926FDF">
      <w:pPr>
        <w:pStyle w:val="NormalWeb"/>
        <w:spacing w:before="0" w:beforeAutospacing="0" w:after="0" w:afterAutospacing="0" w:line="480" w:lineRule="auto"/>
        <w:jc w:val="both"/>
        <w:rPr>
          <w:color w:val="0E101A"/>
        </w:rPr>
      </w:pPr>
      <w:r w:rsidRPr="00926FDF">
        <w:rPr>
          <w:color w:val="0E101A"/>
        </w:rPr>
        <w:t>The team of experts reviewed the reports of error and noted that in over 20% of this severe lethargic is due to hormonal changes especially increased progesterone levels in the first trimester. It was also noted that 20% is due to the low blood pressure and 10% may be due to physical changes and emotional changes. At least 10% is by extra weight from the baby, maybe having trouble sleeping, and dealing with frequent urination more often. But the team reported that there is 50% is due to the error or four times the dose of the medication</w:t>
      </w:r>
      <w:r w:rsidRPr="00926FDF">
        <w:t xml:space="preserve"> </w:t>
      </w:r>
      <w:r w:rsidR="00747636" w:rsidRPr="00926FDF">
        <w:rPr>
          <w:highlight w:val="yellow"/>
        </w:rPr>
        <w:t>("Fatigue during pregnancy," 2020).</w:t>
      </w:r>
    </w:p>
    <w:p w:rsidR="0046010D" w:rsidRPr="00926FDF" w:rsidRDefault="0046010D" w:rsidP="00926FDF">
      <w:pPr>
        <w:pStyle w:val="NormalWeb"/>
        <w:spacing w:before="0" w:beforeAutospacing="0" w:after="0" w:afterAutospacing="0" w:line="480" w:lineRule="auto"/>
        <w:jc w:val="both"/>
        <w:rPr>
          <w:color w:val="0E101A"/>
        </w:rPr>
      </w:pPr>
    </w:p>
    <w:p w:rsidR="00E833AD" w:rsidRPr="00926FDF" w:rsidRDefault="00E833AD" w:rsidP="00926FDF">
      <w:pPr>
        <w:pStyle w:val="NormalWeb"/>
        <w:spacing w:before="0" w:beforeAutospacing="0" w:after="0" w:afterAutospacing="0" w:line="480" w:lineRule="auto"/>
        <w:jc w:val="both"/>
        <w:rPr>
          <w:color w:val="0E101A"/>
        </w:rPr>
      </w:pPr>
    </w:p>
    <w:p w:rsidR="00E833AD" w:rsidRPr="00926FDF" w:rsidRDefault="00E833AD" w:rsidP="00926FDF">
      <w:pPr>
        <w:pStyle w:val="NormalWeb"/>
        <w:spacing w:before="0" w:beforeAutospacing="0" w:after="0" w:afterAutospacing="0" w:line="480" w:lineRule="auto"/>
        <w:jc w:val="both"/>
        <w:rPr>
          <w:color w:val="0E101A"/>
        </w:rPr>
      </w:pPr>
    </w:p>
    <w:p w:rsidR="00754A25" w:rsidRPr="00926FDF" w:rsidRDefault="00754A25" w:rsidP="00926FDF">
      <w:pPr>
        <w:pStyle w:val="NormalWeb"/>
        <w:spacing w:before="0" w:beforeAutospacing="0" w:after="0" w:afterAutospacing="0" w:line="480" w:lineRule="auto"/>
        <w:jc w:val="both"/>
        <w:rPr>
          <w:color w:val="0E101A"/>
        </w:rPr>
      </w:pPr>
    </w:p>
    <w:p w:rsidR="0046010D" w:rsidRPr="00926FDF" w:rsidRDefault="0046010D" w:rsidP="00926FDF">
      <w:pPr>
        <w:pStyle w:val="NormalWeb"/>
        <w:spacing w:before="0" w:beforeAutospacing="0" w:after="0" w:afterAutospacing="0" w:line="480" w:lineRule="auto"/>
        <w:jc w:val="both"/>
        <w:rPr>
          <w:color w:val="0E101A"/>
        </w:rPr>
      </w:pPr>
      <w:r w:rsidRPr="00926FDF">
        <w:rPr>
          <w:color w:val="0E101A"/>
        </w:rPr>
        <w:t>64.55% of medication errors are made by nurses. 31.37% of participants reported drug errors on the verge of the event. The providers have to check the medication b</w:t>
      </w:r>
      <w:r w:rsidR="00317705" w:rsidRPr="00926FDF">
        <w:rPr>
          <w:color w:val="0E101A"/>
        </w:rPr>
        <w:t xml:space="preserve">efore giving it to the patient </w:t>
      </w:r>
      <w:r w:rsidR="00317705" w:rsidRPr="00926FDF">
        <w:t>("Types and causes of medication errors from nurse's viewpoint," 2013).</w:t>
      </w:r>
    </w:p>
    <w:p w:rsidR="00E833AD" w:rsidRPr="00926FDF" w:rsidRDefault="00E833AD" w:rsidP="00926FDF">
      <w:pPr>
        <w:pStyle w:val="NormalWeb"/>
        <w:spacing w:before="0" w:beforeAutospacing="0" w:after="0" w:afterAutospacing="0" w:line="480" w:lineRule="auto"/>
        <w:jc w:val="both"/>
        <w:rPr>
          <w:rStyle w:val="Strong"/>
          <w:color w:val="0E101A"/>
        </w:rPr>
      </w:pPr>
    </w:p>
    <w:p w:rsidR="0046010D" w:rsidRPr="00926FDF" w:rsidRDefault="0046010D" w:rsidP="00926FDF">
      <w:pPr>
        <w:pStyle w:val="NormalWeb"/>
        <w:spacing w:before="0" w:beforeAutospacing="0" w:after="0" w:afterAutospacing="0" w:line="480" w:lineRule="auto"/>
        <w:jc w:val="both"/>
        <w:rPr>
          <w:rStyle w:val="Strong"/>
          <w:color w:val="0E101A"/>
        </w:rPr>
      </w:pPr>
      <w:r w:rsidRPr="00926FDF">
        <w:rPr>
          <w:rStyle w:val="Strong"/>
          <w:color w:val="0E101A"/>
        </w:rPr>
        <w:t>Application of Evidence-Based Strategies reduces medication errors. </w:t>
      </w:r>
    </w:p>
    <w:p w:rsidR="00747636" w:rsidRPr="00926FDF" w:rsidRDefault="00747636" w:rsidP="00926FDF">
      <w:pPr>
        <w:pStyle w:val="NormalWeb"/>
        <w:spacing w:after="0" w:line="480" w:lineRule="auto"/>
        <w:jc w:val="both"/>
        <w:rPr>
          <w:rStyle w:val="tlid-translation"/>
          <w:highlight w:val="yellow"/>
        </w:rPr>
      </w:pPr>
      <w:r w:rsidRPr="00926FDF">
        <w:rPr>
          <w:rStyle w:val="tlid-translation"/>
          <w:highlight w:val="yellow"/>
        </w:rPr>
        <w:t>The National Coordination Council for the Reporting and Prevention of Drug Errors (2014) refers to medication error as any incident that causes the improper use of drugs or causes ill-effects to a patient at a time when the drug is fully controlled by healthcare staff, patient or family</w:t>
      </w:r>
      <w:r w:rsidR="001E154E" w:rsidRPr="00926FDF">
        <w:rPr>
          <w:rStyle w:val="tlid-translation"/>
          <w:highlight w:val="yellow"/>
        </w:rPr>
        <w:t>(</w:t>
      </w:r>
      <w:r w:rsidR="001E154E" w:rsidRPr="00926FDF">
        <w:rPr>
          <w:highlight w:val="yellow"/>
        </w:rPr>
        <w:t>Creed, S. 2017).</w:t>
      </w:r>
    </w:p>
    <w:p w:rsidR="00747636" w:rsidRPr="00926FDF" w:rsidRDefault="00747636" w:rsidP="00926FDF">
      <w:pPr>
        <w:pStyle w:val="NormalWeb"/>
        <w:spacing w:after="0" w:line="480" w:lineRule="auto"/>
        <w:jc w:val="both"/>
        <w:rPr>
          <w:rStyle w:val="tlid-translation"/>
          <w:highlight w:val="yellow"/>
        </w:rPr>
      </w:pPr>
      <w:r w:rsidRPr="00926FDF">
        <w:rPr>
          <w:rStyle w:val="tlid-translation"/>
          <w:highlight w:val="yellow"/>
        </w:rPr>
        <w:t xml:space="preserve">Nursing education helps nurses gain or improve the knowledge, skills, and critical thinking skills necessary to improve patient outcomes </w:t>
      </w:r>
      <w:r w:rsidR="001E154E" w:rsidRPr="00926FDF">
        <w:rPr>
          <w:rStyle w:val="tlid-translation"/>
          <w:highlight w:val="yellow"/>
        </w:rPr>
        <w:t>(</w:t>
      </w:r>
      <w:r w:rsidR="001E154E" w:rsidRPr="00926FDF">
        <w:rPr>
          <w:highlight w:val="yellow"/>
        </w:rPr>
        <w:t>McHugh, M., &amp; Lake, E. 2010).</w:t>
      </w:r>
    </w:p>
    <w:p w:rsidR="00747636" w:rsidRPr="00926FDF" w:rsidRDefault="00747636" w:rsidP="00926FDF">
      <w:pPr>
        <w:pStyle w:val="NormalWeb"/>
        <w:spacing w:after="0" w:line="480" w:lineRule="auto"/>
        <w:jc w:val="both"/>
        <w:rPr>
          <w:rStyle w:val="tlid-translation"/>
          <w:highlight w:val="yellow"/>
        </w:rPr>
      </w:pPr>
      <w:r w:rsidRPr="00926FDF">
        <w:rPr>
          <w:rStyle w:val="tlid-translation"/>
          <w:highlight w:val="yellow"/>
        </w:rPr>
        <w:t xml:space="preserve">Logic models serve as a roadmap for data collection and can help evaluators identify the questions to answer, in turn guiding evaluation priorities and resource allocation </w:t>
      </w:r>
      <w:r w:rsidR="001E154E" w:rsidRPr="00926FDF">
        <w:rPr>
          <w:rStyle w:val="tlid-translation"/>
          <w:highlight w:val="yellow"/>
        </w:rPr>
        <w:t>(</w:t>
      </w:r>
      <w:r w:rsidR="001E154E" w:rsidRPr="00926FDF">
        <w:rPr>
          <w:highlight w:val="yellow"/>
        </w:rPr>
        <w:t xml:space="preserve">Hodges, B., &amp; Videto, D. 2011). </w:t>
      </w:r>
    </w:p>
    <w:p w:rsidR="00747636" w:rsidRPr="00926FDF" w:rsidRDefault="001E154E" w:rsidP="00926FDF">
      <w:pPr>
        <w:pStyle w:val="NormalWeb"/>
        <w:spacing w:after="0" w:line="480" w:lineRule="auto"/>
        <w:jc w:val="both"/>
        <w:rPr>
          <w:rStyle w:val="tlid-translation"/>
          <w:highlight w:val="yellow"/>
        </w:rPr>
      </w:pPr>
      <w:r w:rsidRPr="00926FDF">
        <w:rPr>
          <w:rStyle w:val="tlid-translation"/>
          <w:highlight w:val="yellow"/>
        </w:rPr>
        <w:t>M</w:t>
      </w:r>
      <w:r w:rsidR="00747636" w:rsidRPr="00926FDF">
        <w:rPr>
          <w:rStyle w:val="tlid-translation"/>
          <w:highlight w:val="yellow"/>
        </w:rPr>
        <w:t>edication errors are the third leading cause of death in hospitals and that almost 98,000 of these deaths could be prevented each year. Decision-making in the clinical setting is a complex process, as it requires attention, understanding, rapid recovery, and synthesis of large amounts of</w:t>
      </w:r>
      <w:r w:rsidRPr="00926FDF">
        <w:rPr>
          <w:rStyle w:val="tlid-translation"/>
          <w:highlight w:val="yellow"/>
        </w:rPr>
        <w:t xml:space="preserve"> critical data for patient care (James</w:t>
      </w:r>
      <w:r w:rsidRPr="00926FDF">
        <w:rPr>
          <w:highlight w:val="yellow"/>
        </w:rPr>
        <w:t xml:space="preserve">, J. 2013). </w:t>
      </w:r>
    </w:p>
    <w:p w:rsidR="00747636" w:rsidRPr="00926FDF" w:rsidRDefault="00747636" w:rsidP="00926FDF">
      <w:pPr>
        <w:pStyle w:val="NormalWeb"/>
        <w:spacing w:after="0" w:line="480" w:lineRule="auto"/>
        <w:jc w:val="both"/>
        <w:rPr>
          <w:rStyle w:val="tlid-translation"/>
          <w:highlight w:val="yellow"/>
        </w:rPr>
      </w:pPr>
      <w:r w:rsidRPr="00926FDF">
        <w:rPr>
          <w:rStyle w:val="tlid-translation"/>
          <w:highlight w:val="yellow"/>
        </w:rPr>
        <w:t xml:space="preserve">Computerized physician order entry systems combined with clinical decision support systems. Individual drug delivery systems compared to other dispensing systems, such as ward stock approaches. Use of clinical pharmacists in the hospital setting. Verification of medication orders by two nurses before dispensing medications. a medication administration </w:t>
      </w:r>
      <w:r w:rsidRPr="00926FDF">
        <w:rPr>
          <w:rStyle w:val="tlid-translation"/>
          <w:highlight w:val="yellow"/>
        </w:rPr>
        <w:lastRenderedPageBreak/>
        <w:t>review and safety committee and Provide bedside glucose monitors and educate nurses on the importance of timely insulin admin</w:t>
      </w:r>
      <w:r w:rsidR="001E154E" w:rsidRPr="00926FDF">
        <w:rPr>
          <w:rStyle w:val="tlid-translation"/>
          <w:highlight w:val="yellow"/>
        </w:rPr>
        <w:t>istration</w:t>
      </w:r>
      <w:r w:rsidR="001E154E" w:rsidRPr="00926FDF">
        <w:rPr>
          <w:highlight w:val="yellow"/>
        </w:rPr>
        <w:t>("Strategies to reduce medication errors with reference to... : International Journal of evidence-based healthcare," n.d.).</w:t>
      </w:r>
    </w:p>
    <w:p w:rsidR="00747636" w:rsidRPr="00926FDF" w:rsidRDefault="00747636" w:rsidP="00926FDF">
      <w:pPr>
        <w:pStyle w:val="NormalWeb"/>
        <w:spacing w:before="0" w:beforeAutospacing="0" w:after="0" w:afterAutospacing="0" w:line="480" w:lineRule="auto"/>
        <w:jc w:val="both"/>
        <w:rPr>
          <w:rStyle w:val="tlid-translation"/>
          <w:highlight w:val="yellow"/>
        </w:rPr>
      </w:pPr>
      <w:r w:rsidRPr="00926FDF">
        <w:rPr>
          <w:rStyle w:val="tlid-translation"/>
          <w:highlight w:val="yellow"/>
        </w:rPr>
        <w:t>Effective use of HIT, implementation of the five Rs of medication administration (correct medication, the correct route, correct time, correct individual and correct dose), rapid reporting of errors when they occur, and a positive learning climate. A positive climate in which an open assessment of possible causes of medication errors takes place should facilitate better learning about the errors and, as a result, be associated with fewer medication errors over time (Van Dyck, Frese, Baer, and Sonnentag, 2009).</w:t>
      </w:r>
    </w:p>
    <w:p w:rsidR="0046010D" w:rsidRPr="00926FDF" w:rsidRDefault="0046010D" w:rsidP="00926FDF">
      <w:pPr>
        <w:pStyle w:val="NormalWeb"/>
        <w:spacing w:before="0" w:beforeAutospacing="0" w:after="0" w:afterAutospacing="0" w:line="480" w:lineRule="auto"/>
        <w:jc w:val="both"/>
        <w:rPr>
          <w:color w:val="0E101A"/>
        </w:rPr>
      </w:pPr>
      <w:r w:rsidRPr="00926FDF">
        <w:rPr>
          <w:color w:val="0E101A"/>
          <w:highlight w:val="yellow"/>
        </w:rPr>
        <w:t>Note the use of name warning. Some companies use name alerts to prevent the mixing of similarly sounding patient names with potential drugs. Decimal point Example Place zero before 0.25mg. Document everything. Ensure proper storage of medications for optimal efficacy. Learn the company's drug management policies, regulations, and guidelines. Note that there is a medication guide at all times</w:t>
      </w:r>
      <w:r w:rsidRPr="00926FDF">
        <w:rPr>
          <w:highlight w:val="yellow"/>
        </w:rPr>
        <w:t xml:space="preserve"> (</w:t>
      </w:r>
      <w:r w:rsidRPr="00926FDF">
        <w:rPr>
          <w:rStyle w:val="Emphasis"/>
          <w:highlight w:val="yellow"/>
        </w:rPr>
        <w:t>Medical error prevention - StatPearls - NCBI bookshelf</w:t>
      </w:r>
      <w:r w:rsidRPr="00926FDF">
        <w:rPr>
          <w:highlight w:val="yellow"/>
        </w:rPr>
        <w:t>. 2020, February 5).</w:t>
      </w:r>
    </w:p>
    <w:p w:rsidR="0046010D" w:rsidRPr="00926FDF" w:rsidRDefault="0046010D" w:rsidP="00926FDF">
      <w:pPr>
        <w:pStyle w:val="NormalWeb"/>
        <w:spacing w:before="0" w:beforeAutospacing="0" w:after="0" w:afterAutospacing="0" w:line="480" w:lineRule="auto"/>
        <w:jc w:val="both"/>
        <w:rPr>
          <w:color w:val="0E101A"/>
        </w:rPr>
      </w:pPr>
      <w:r w:rsidRPr="00926FDF">
        <w:rPr>
          <w:rStyle w:val="Strong"/>
          <w:color w:val="0E101A"/>
        </w:rPr>
        <w:t>Improvement Plan</w:t>
      </w:r>
    </w:p>
    <w:p w:rsidR="00FE51E0" w:rsidRPr="00926FDF" w:rsidRDefault="0046010D" w:rsidP="00926FDF">
      <w:pPr>
        <w:pStyle w:val="NormalWeb"/>
        <w:spacing w:before="0" w:beforeAutospacing="0" w:after="0" w:afterAutospacing="0" w:line="480" w:lineRule="auto"/>
        <w:jc w:val="both"/>
        <w:rPr>
          <w:color w:val="0E101A"/>
        </w:rPr>
      </w:pPr>
      <w:r w:rsidRPr="00926FDF">
        <w:rPr>
          <w:color w:val="0E101A"/>
        </w:rPr>
        <w:t xml:space="preserve">The development plan involves a two-pronged approach: planning for safe drug practices, which begins with making drug safety an institutional and sectoral priority and implementing </w:t>
      </w:r>
    </w:p>
    <w:p w:rsidR="0046010D" w:rsidRPr="00926FDF" w:rsidRDefault="0046010D" w:rsidP="00926FDF">
      <w:pPr>
        <w:pStyle w:val="NormalWeb"/>
        <w:spacing w:before="0" w:beforeAutospacing="0" w:after="0" w:afterAutospacing="0" w:line="480" w:lineRule="auto"/>
        <w:jc w:val="both"/>
        <w:rPr>
          <w:color w:val="0E101A"/>
        </w:rPr>
      </w:pPr>
      <w:r w:rsidRPr="00926FDF">
        <w:rPr>
          <w:color w:val="0E101A"/>
        </w:rPr>
        <w:t>a system that supports these practices. As a drug safety leader, the organization should have a comprehensive plan that includes the key components and successful strategic plan for providing a framework for safe drug practices. The event-reporting system, an intermediate drug safety team, Continuous development philosophy related to the evaluation of errors and harms and robust designs for assessing and minimizing the risk of errors.</w:t>
      </w:r>
    </w:p>
    <w:p w:rsidR="00317705" w:rsidRPr="00926FDF" w:rsidRDefault="00317705" w:rsidP="00926FDF">
      <w:pPr>
        <w:spacing w:after="0" w:line="480" w:lineRule="auto"/>
        <w:jc w:val="both"/>
        <w:rPr>
          <w:rFonts w:ascii="Times New Roman" w:eastAsia="Times New Roman" w:hAnsi="Times New Roman"/>
          <w:color w:val="0E101A"/>
          <w:sz w:val="24"/>
          <w:szCs w:val="24"/>
          <w:lang w:eastAsia="en-GB"/>
        </w:rPr>
      </w:pPr>
      <w:r w:rsidRPr="00926FDF">
        <w:rPr>
          <w:rFonts w:ascii="Times New Roman" w:hAnsi="Times New Roman"/>
          <w:color w:val="0E101A"/>
          <w:sz w:val="24"/>
          <w:szCs w:val="24"/>
        </w:rPr>
        <w:br w:type="page"/>
      </w:r>
    </w:p>
    <w:p w:rsidR="00317705" w:rsidRPr="00926FDF" w:rsidRDefault="00317705" w:rsidP="00926FDF">
      <w:pPr>
        <w:pStyle w:val="NormalWeb"/>
        <w:spacing w:before="0" w:beforeAutospacing="0" w:after="0" w:afterAutospacing="0" w:line="480" w:lineRule="auto"/>
        <w:jc w:val="both"/>
        <w:rPr>
          <w:color w:val="0E101A"/>
        </w:rPr>
      </w:pPr>
    </w:p>
    <w:p w:rsidR="00E25BB8" w:rsidRPr="00926FDF" w:rsidRDefault="0046010D" w:rsidP="00926FDF">
      <w:pPr>
        <w:pStyle w:val="NormalWeb"/>
        <w:spacing w:before="0" w:beforeAutospacing="0" w:after="0" w:afterAutospacing="0" w:line="480" w:lineRule="auto"/>
        <w:jc w:val="both"/>
        <w:rPr>
          <w:color w:val="0E101A"/>
        </w:rPr>
      </w:pPr>
      <w:r w:rsidRPr="00926FDF">
        <w:rPr>
          <w:color w:val="0E101A"/>
        </w:rPr>
        <w:t xml:space="preserve">An organization for reporting and reviewing errors is an essential part of the drug safety system; its goal is to improve patient safety and prevent harm to the patient. Errors and close </w:t>
      </w:r>
    </w:p>
    <w:p w:rsidR="0046010D" w:rsidRPr="00926FDF" w:rsidRDefault="00317705" w:rsidP="00926FDF">
      <w:pPr>
        <w:pStyle w:val="NormalWeb"/>
        <w:spacing w:before="0" w:beforeAutospacing="0" w:after="0" w:afterAutospacing="0" w:line="480" w:lineRule="auto"/>
        <w:jc w:val="both"/>
        <w:rPr>
          <w:color w:val="0E101A"/>
        </w:rPr>
      </w:pPr>
      <w:r w:rsidRPr="00926FDF">
        <w:rPr>
          <w:color w:val="0E101A"/>
        </w:rPr>
        <w:t>calls</w:t>
      </w:r>
      <w:r w:rsidR="0046010D" w:rsidRPr="00926FDF">
        <w:rPr>
          <w:color w:val="0E101A"/>
        </w:rPr>
        <w:t xml:space="preserve"> should be reported and analyzed</w:t>
      </w:r>
      <w:r w:rsidR="001E154E" w:rsidRPr="00926FDF">
        <w:t>.</w:t>
      </w:r>
    </w:p>
    <w:p w:rsidR="0046010D" w:rsidRPr="00926FDF" w:rsidRDefault="0046010D" w:rsidP="00926FDF">
      <w:pPr>
        <w:pStyle w:val="NormalWeb"/>
        <w:spacing w:before="0" w:beforeAutospacing="0" w:after="0" w:afterAutospacing="0" w:line="480" w:lineRule="auto"/>
        <w:jc w:val="both"/>
        <w:rPr>
          <w:color w:val="0E101A"/>
        </w:rPr>
      </w:pPr>
      <w:r w:rsidRPr="00926FDF">
        <w:rPr>
          <w:color w:val="0E101A"/>
        </w:rPr>
        <w:t>The second part of the development plan is effective communication in a healthy environment. One of the main problems that can cause drug errors is ineffective communication. The error was not properly reported to the provider about the medication and ineffective communication with the patient and nurse. The relationship between the pharmacist and the patient is very important because they are the drug providers to achieve the desired satisfaction of the patient and to improve the medication and treatment results. Another way to avoid medication error is to make sure the language used to communicate with the patient is appropriate, simple, and clear (Solet et al. 2005). He suggested that to improve patient safety during resuscitation of ill patients, group communication and group situationa</w:t>
      </w:r>
      <w:r w:rsidR="001E154E" w:rsidRPr="00926FDF">
        <w:rPr>
          <w:color w:val="0E101A"/>
        </w:rPr>
        <w:t xml:space="preserve">l awareness should be improved (Calder et al. 2017). </w:t>
      </w:r>
      <w:r w:rsidR="00E25BB8" w:rsidRPr="00926FDF">
        <w:rPr>
          <w:color w:val="0E101A"/>
        </w:rPr>
        <w:t>Continuous communication</w:t>
      </w:r>
      <w:r w:rsidRPr="00926FDF">
        <w:rPr>
          <w:color w:val="0E101A"/>
        </w:rPr>
        <w:t xml:space="preserve"> methods that reveal the team’s dense data at short intervals are mandatory (Lingard et al., 2008).</w:t>
      </w:r>
    </w:p>
    <w:p w:rsidR="0046010D" w:rsidRPr="00926FDF" w:rsidRDefault="0046010D" w:rsidP="00926FDF">
      <w:pPr>
        <w:pStyle w:val="NormalWeb"/>
        <w:spacing w:before="0" w:beforeAutospacing="0" w:after="0" w:afterAutospacing="0" w:line="480" w:lineRule="auto"/>
        <w:jc w:val="both"/>
        <w:rPr>
          <w:color w:val="0E101A"/>
        </w:rPr>
      </w:pPr>
      <w:r w:rsidRPr="00926FDF">
        <w:rPr>
          <w:color w:val="0E101A"/>
        </w:rPr>
        <w:t>The favorable social setting is also important so that both parties involved in the communication can feel comfortable discussing the treatment. (Moore, Wilkinson, and Rivera Mercado 2004) proposed that considerable effort should be dedicated to courses improving communication skills for health professionals.</w:t>
      </w:r>
    </w:p>
    <w:p w:rsidR="0046010D" w:rsidRPr="00926FDF" w:rsidRDefault="00317705" w:rsidP="00926FDF">
      <w:pPr>
        <w:pStyle w:val="NormalWeb"/>
        <w:spacing w:before="0" w:beforeAutospacing="0" w:after="0" w:afterAutospacing="0" w:line="480" w:lineRule="auto"/>
        <w:jc w:val="both"/>
        <w:rPr>
          <w:color w:val="0E101A"/>
        </w:rPr>
      </w:pPr>
      <w:r w:rsidRPr="00926FDF">
        <w:rPr>
          <w:color w:val="0E101A"/>
        </w:rPr>
        <w:t>T</w:t>
      </w:r>
      <w:r w:rsidR="00E25BB8" w:rsidRPr="00926FDF">
        <w:rPr>
          <w:color w:val="0E101A"/>
        </w:rPr>
        <w:t>he</w:t>
      </w:r>
      <w:r w:rsidR="0046010D" w:rsidRPr="00926FDF">
        <w:rPr>
          <w:color w:val="0E101A"/>
        </w:rPr>
        <w:t xml:space="preserve"> use of visual aids may improve the accuracy of patient reports. Doctor-patient communication related to drugs is a fundamental aspect of health. (Leonard 2004) suggested that effective communication and teamwork are essential to providing quality health care. Avoiding drug errors through effective communication services.</w:t>
      </w:r>
      <w:r w:rsidRPr="00926FDF">
        <w:rPr>
          <w:color w:val="0E101A"/>
        </w:rPr>
        <w:t xml:space="preserve"> (According to Schillinger et al. 2005).</w:t>
      </w:r>
    </w:p>
    <w:p w:rsidR="00E833AD" w:rsidRPr="00926FDF" w:rsidRDefault="00E833AD" w:rsidP="00926FDF">
      <w:pPr>
        <w:spacing w:after="0" w:line="480" w:lineRule="auto"/>
        <w:jc w:val="both"/>
        <w:rPr>
          <w:rFonts w:ascii="Times New Roman" w:hAnsi="Times New Roman"/>
          <w:color w:val="0E101A"/>
          <w:sz w:val="24"/>
          <w:szCs w:val="24"/>
        </w:rPr>
      </w:pPr>
    </w:p>
    <w:p w:rsidR="00857CF2" w:rsidRPr="00926FDF" w:rsidRDefault="00E25BB8" w:rsidP="00926FDF">
      <w:pPr>
        <w:spacing w:after="0" w:line="480" w:lineRule="auto"/>
        <w:jc w:val="both"/>
        <w:rPr>
          <w:rFonts w:ascii="Times New Roman" w:hAnsi="Times New Roman"/>
          <w:color w:val="0E101A"/>
          <w:sz w:val="24"/>
          <w:szCs w:val="24"/>
        </w:rPr>
      </w:pPr>
      <w:r w:rsidRPr="00926FDF">
        <w:rPr>
          <w:rFonts w:ascii="Times New Roman" w:hAnsi="Times New Roman"/>
          <w:color w:val="0E101A"/>
          <w:sz w:val="24"/>
          <w:szCs w:val="24"/>
        </w:rPr>
        <w:br/>
      </w:r>
    </w:p>
    <w:p w:rsidR="00857CF2" w:rsidRPr="00926FDF" w:rsidRDefault="00857CF2" w:rsidP="00926FDF">
      <w:pPr>
        <w:spacing w:after="0" w:line="480" w:lineRule="auto"/>
        <w:jc w:val="both"/>
        <w:rPr>
          <w:rFonts w:ascii="Times New Roman" w:hAnsi="Times New Roman"/>
          <w:color w:val="0E101A"/>
          <w:sz w:val="24"/>
          <w:szCs w:val="24"/>
        </w:rPr>
      </w:pPr>
    </w:p>
    <w:p w:rsidR="0046010D" w:rsidRPr="00926FDF" w:rsidRDefault="0046010D" w:rsidP="00926FDF">
      <w:pPr>
        <w:spacing w:after="0" w:line="480" w:lineRule="auto"/>
        <w:jc w:val="both"/>
        <w:rPr>
          <w:rFonts w:ascii="Times New Roman" w:eastAsia="Times New Roman" w:hAnsi="Times New Roman"/>
          <w:color w:val="0E101A"/>
          <w:sz w:val="24"/>
          <w:szCs w:val="24"/>
          <w:lang w:eastAsia="en-GB"/>
        </w:rPr>
      </w:pPr>
      <w:r w:rsidRPr="00926FDF">
        <w:rPr>
          <w:rFonts w:ascii="Times New Roman" w:hAnsi="Times New Roman"/>
          <w:color w:val="0E101A"/>
          <w:sz w:val="24"/>
          <w:szCs w:val="24"/>
        </w:rPr>
        <w:t>CONCLUSION </w:t>
      </w:r>
    </w:p>
    <w:p w:rsidR="00E833AD" w:rsidRPr="00926FDF" w:rsidRDefault="00E833AD" w:rsidP="00926FDF">
      <w:pPr>
        <w:pStyle w:val="NormalWeb"/>
        <w:spacing w:before="0" w:beforeAutospacing="0" w:after="0" w:afterAutospacing="0" w:line="480" w:lineRule="auto"/>
        <w:jc w:val="both"/>
        <w:rPr>
          <w:color w:val="0E101A"/>
        </w:rPr>
      </w:pPr>
    </w:p>
    <w:p w:rsidR="0046010D" w:rsidRPr="00926FDF" w:rsidRDefault="0046010D" w:rsidP="00926FDF">
      <w:pPr>
        <w:pStyle w:val="NormalWeb"/>
        <w:spacing w:before="0" w:beforeAutospacing="0" w:after="0" w:afterAutospacing="0" w:line="480" w:lineRule="auto"/>
        <w:jc w:val="both"/>
        <w:rPr>
          <w:color w:val="0E101A"/>
        </w:rPr>
      </w:pPr>
      <w:r w:rsidRPr="00926FDF">
        <w:rPr>
          <w:color w:val="0E101A"/>
        </w:rPr>
        <w:t>A medication error is a major problem in the health care sector. They are largely preventable. A root-cause analysis of medication error in the pregnant woman who has a withdrawal of opiates is the case. The precipitating factor is the four times the dose of a control substance and the usage of Buprenophrine instead of Suboxone. The paper discusses evidence-based strategies such as follow the rights of medication, Review and verify each medication, double or triple check the medication before administration. A two-pronged improvement plan was planning for Safe Medication Practices and effective communication.</w:t>
      </w:r>
    </w:p>
    <w:p w:rsidR="000B7C4A" w:rsidRPr="00926FDF" w:rsidRDefault="008E69B3" w:rsidP="00926FDF">
      <w:pPr>
        <w:spacing w:line="480" w:lineRule="auto"/>
        <w:jc w:val="both"/>
        <w:rPr>
          <w:rFonts w:ascii="Times New Roman" w:hAnsi="Times New Roman"/>
          <w:sz w:val="24"/>
          <w:szCs w:val="24"/>
        </w:rPr>
      </w:pPr>
      <w:r w:rsidRPr="00926FDF">
        <w:rPr>
          <w:rFonts w:ascii="Times New Roman" w:hAnsi="Times New Roman"/>
          <w:sz w:val="24"/>
          <w:szCs w:val="24"/>
        </w:rPr>
        <w:br w:type="page"/>
      </w:r>
    </w:p>
    <w:sdt>
      <w:sdtPr>
        <w:rPr>
          <w:rFonts w:ascii="Times New Roman" w:eastAsia="Calibri" w:hAnsi="Times New Roman" w:cs="Times New Roman"/>
          <w:b w:val="0"/>
          <w:bCs w:val="0"/>
          <w:color w:val="auto"/>
          <w:sz w:val="24"/>
          <w:szCs w:val="24"/>
          <w:lang w:val="en-GB" w:bidi="ar-SA"/>
        </w:rPr>
        <w:id w:val="239280427"/>
        <w:docPartObj>
          <w:docPartGallery w:val="Bibliographies"/>
          <w:docPartUnique/>
        </w:docPartObj>
      </w:sdtPr>
      <w:sdtContent>
        <w:p w:rsidR="00ED73FC" w:rsidRPr="00926FDF" w:rsidRDefault="00ED73FC" w:rsidP="00926FDF">
          <w:pPr>
            <w:pStyle w:val="Heading1"/>
            <w:spacing w:line="480" w:lineRule="auto"/>
            <w:jc w:val="both"/>
            <w:rPr>
              <w:rFonts w:ascii="Times New Roman" w:eastAsia="Calibri" w:hAnsi="Times New Roman" w:cs="Times New Roman"/>
              <w:b w:val="0"/>
              <w:bCs w:val="0"/>
              <w:color w:val="auto"/>
              <w:sz w:val="24"/>
              <w:szCs w:val="24"/>
              <w:lang w:val="en-GB" w:bidi="ar-SA"/>
            </w:rPr>
          </w:pPr>
        </w:p>
        <w:p w:rsidR="00ED73FC" w:rsidRPr="00926FDF" w:rsidRDefault="00ED73FC" w:rsidP="00926FDF">
          <w:pPr>
            <w:spacing w:line="480" w:lineRule="auto"/>
            <w:ind w:hanging="720"/>
            <w:jc w:val="both"/>
            <w:rPr>
              <w:rFonts w:ascii="Times New Roman" w:hAnsi="Times New Roman"/>
              <w:sz w:val="24"/>
              <w:szCs w:val="24"/>
            </w:rPr>
          </w:pPr>
          <w:r w:rsidRPr="00926FDF">
            <w:rPr>
              <w:rFonts w:ascii="Times New Roman" w:hAnsi="Times New Roman"/>
              <w:sz w:val="24"/>
              <w:szCs w:val="24"/>
            </w:rPr>
            <w:t>REFERENCES</w:t>
          </w:r>
        </w:p>
        <w:p w:rsidR="00ED73FC" w:rsidRPr="00926FDF" w:rsidRDefault="00ED73FC" w:rsidP="00926FDF">
          <w:pPr>
            <w:spacing w:line="480" w:lineRule="auto"/>
            <w:ind w:hanging="720"/>
            <w:jc w:val="both"/>
            <w:rPr>
              <w:rFonts w:ascii="Times New Roman" w:hAnsi="Times New Roman"/>
              <w:sz w:val="24"/>
              <w:szCs w:val="24"/>
            </w:rPr>
          </w:pPr>
          <w:r w:rsidRPr="00926FDF">
            <w:rPr>
              <w:rFonts w:ascii="Times New Roman" w:hAnsi="Times New Roman"/>
              <w:sz w:val="24"/>
              <w:szCs w:val="24"/>
            </w:rPr>
            <w:t xml:space="preserve">Calder, L. A., Mastoras, G., Rahimpour, M., Sohmer, B., Weitzman, B., Cwinn, A. A., Hobin T., &amp; Parush, A. (2017). Team communication patterns in emergency resuscitation: a mixed methods qualitative analysis. International Journal of Emergency Medicine, 10(1), 24. </w:t>
          </w:r>
          <w:hyperlink r:id="rId7" w:history="1">
            <w:r w:rsidRPr="00926FDF">
              <w:rPr>
                <w:rStyle w:val="Hyperlink"/>
                <w:rFonts w:ascii="Times New Roman" w:hAnsi="Times New Roman"/>
                <w:sz w:val="24"/>
                <w:szCs w:val="24"/>
              </w:rPr>
              <w:t>https://doi.org/10.1186/s12245-017-0149-4</w:t>
            </w:r>
          </w:hyperlink>
        </w:p>
        <w:p w:rsidR="00747636" w:rsidRPr="00926FDF" w:rsidRDefault="00747636" w:rsidP="00926FDF">
          <w:pPr>
            <w:spacing w:line="480" w:lineRule="auto"/>
            <w:ind w:hanging="720"/>
            <w:jc w:val="both"/>
            <w:rPr>
              <w:rFonts w:ascii="Times New Roman" w:hAnsi="Times New Roman"/>
              <w:sz w:val="24"/>
              <w:szCs w:val="24"/>
            </w:rPr>
          </w:pPr>
          <w:r w:rsidRPr="00926FDF">
            <w:rPr>
              <w:rFonts w:ascii="Times New Roman" w:hAnsi="Times New Roman"/>
              <w:sz w:val="24"/>
              <w:szCs w:val="24"/>
              <w:highlight w:val="yellow"/>
            </w:rPr>
            <w:t>Creed, S. (2017). Avoiding medication errors in general practice. Practice Nurse, 47(2), 24-26.</w:t>
          </w:r>
        </w:p>
        <w:p w:rsidR="00ED73FC" w:rsidRPr="00926FDF" w:rsidRDefault="00ED73FC" w:rsidP="00926FDF">
          <w:pPr>
            <w:spacing w:line="480" w:lineRule="auto"/>
            <w:ind w:hanging="720"/>
            <w:jc w:val="both"/>
            <w:rPr>
              <w:rFonts w:ascii="Times New Roman" w:hAnsi="Times New Roman"/>
              <w:sz w:val="24"/>
              <w:szCs w:val="24"/>
            </w:rPr>
          </w:pPr>
          <w:r w:rsidRPr="00926FDF">
            <w:rPr>
              <w:rStyle w:val="Emphasis"/>
              <w:rFonts w:ascii="Times New Roman" w:hAnsi="Times New Roman"/>
              <w:i w:val="0"/>
              <w:sz w:val="24"/>
              <w:szCs w:val="24"/>
            </w:rPr>
            <w:t>Fatigue during pregnancy</w:t>
          </w:r>
          <w:r w:rsidRPr="00926FDF">
            <w:rPr>
              <w:rFonts w:ascii="Times New Roman" w:hAnsi="Times New Roman"/>
              <w:sz w:val="24"/>
              <w:szCs w:val="24"/>
            </w:rPr>
            <w:t xml:space="preserve">. (2020, May 21). American Pregnancy Association.  Retrieved from </w:t>
          </w:r>
          <w:hyperlink r:id="rId8" w:history="1">
            <w:r w:rsidRPr="00926FDF">
              <w:rPr>
                <w:rStyle w:val="Hyperlink"/>
                <w:rFonts w:ascii="Times New Roman" w:hAnsi="Times New Roman"/>
                <w:sz w:val="24"/>
                <w:szCs w:val="24"/>
              </w:rPr>
              <w:t>https://americanpregnancy.org/your-pregnancy/fatigue-during-pregnancy/</w:t>
            </w:r>
          </w:hyperlink>
        </w:p>
        <w:p w:rsidR="001E154E" w:rsidRPr="00926FDF" w:rsidRDefault="001E154E" w:rsidP="00926FDF">
          <w:pPr>
            <w:spacing w:line="480" w:lineRule="auto"/>
            <w:ind w:hanging="720"/>
            <w:jc w:val="both"/>
            <w:rPr>
              <w:rFonts w:ascii="Times New Roman" w:hAnsi="Times New Roman"/>
              <w:sz w:val="24"/>
              <w:szCs w:val="24"/>
            </w:rPr>
          </w:pPr>
          <w:r w:rsidRPr="00926FDF">
            <w:rPr>
              <w:rFonts w:ascii="Times New Roman" w:hAnsi="Times New Roman"/>
              <w:sz w:val="24"/>
              <w:szCs w:val="24"/>
              <w:highlight w:val="yellow"/>
            </w:rPr>
            <w:t>Hodges, B., &amp; Videto, D. (2011). Assessment and planning in health programs (Second ed.). Sudbury, MA: Jones and Bartlett Learning</w:t>
          </w:r>
          <w:r w:rsidRPr="00926FDF">
            <w:rPr>
              <w:rFonts w:ascii="Times New Roman" w:hAnsi="Times New Roman"/>
              <w:sz w:val="24"/>
              <w:szCs w:val="24"/>
            </w:rPr>
            <w:t>.</w:t>
          </w:r>
        </w:p>
        <w:p w:rsidR="00ED73FC" w:rsidRPr="00926FDF" w:rsidRDefault="00ED73FC" w:rsidP="00926FDF">
          <w:pPr>
            <w:spacing w:line="480" w:lineRule="auto"/>
            <w:ind w:hanging="720"/>
            <w:jc w:val="both"/>
            <w:rPr>
              <w:rFonts w:ascii="Times New Roman" w:hAnsi="Times New Roman"/>
              <w:sz w:val="24"/>
              <w:szCs w:val="24"/>
            </w:rPr>
          </w:pPr>
          <w:r w:rsidRPr="00926FDF">
            <w:rPr>
              <w:rFonts w:ascii="Times New Roman" w:hAnsi="Times New Roman"/>
              <w:sz w:val="24"/>
              <w:szCs w:val="24"/>
              <w:highlight w:val="yellow"/>
            </w:rPr>
            <w:t xml:space="preserve">Https://www.cms.gov/medicare/provider-enrollment-and-certification/qapi/downloads/guidanceforrca.pdf. (n.d.). ASHP. Retrieved from </w:t>
          </w:r>
          <w:hyperlink r:id="rId9" w:history="1">
            <w:r w:rsidRPr="00926FDF">
              <w:rPr>
                <w:rStyle w:val="Hyperlink"/>
                <w:rFonts w:ascii="Times New Roman" w:hAnsi="Times New Roman"/>
                <w:sz w:val="24"/>
                <w:szCs w:val="24"/>
              </w:rPr>
              <w:t>https://www.ashp.org/-/media/assets/policy-guidelines/docs/guidelines/preventing-medication-errors-hospitals.ashx</w:t>
            </w:r>
          </w:hyperlink>
        </w:p>
        <w:p w:rsidR="001E154E" w:rsidRPr="00926FDF" w:rsidRDefault="001E154E" w:rsidP="00926FDF">
          <w:pPr>
            <w:spacing w:line="480" w:lineRule="auto"/>
            <w:ind w:hanging="720"/>
            <w:jc w:val="both"/>
            <w:rPr>
              <w:rFonts w:ascii="Times New Roman" w:hAnsi="Times New Roman"/>
              <w:sz w:val="24"/>
              <w:szCs w:val="24"/>
            </w:rPr>
          </w:pPr>
          <w:r w:rsidRPr="00926FDF">
            <w:rPr>
              <w:rFonts w:ascii="Times New Roman" w:hAnsi="Times New Roman"/>
              <w:sz w:val="24"/>
              <w:szCs w:val="24"/>
              <w:highlight w:val="yellow"/>
            </w:rPr>
            <w:t>James, J. (2013). A new, evidence-based estimate of patient harms associated with hospital care. Journal of Patient Safety, 9(3), 122-128.</w:t>
          </w:r>
        </w:p>
        <w:p w:rsidR="00ED73FC" w:rsidRPr="00926FDF" w:rsidRDefault="00ED73FC" w:rsidP="00926FDF">
          <w:pPr>
            <w:spacing w:line="480" w:lineRule="auto"/>
            <w:ind w:hanging="720"/>
            <w:jc w:val="both"/>
            <w:rPr>
              <w:rFonts w:ascii="Times New Roman" w:hAnsi="Times New Roman"/>
              <w:sz w:val="24"/>
              <w:szCs w:val="24"/>
            </w:rPr>
          </w:pPr>
          <w:r w:rsidRPr="00926FDF">
            <w:rPr>
              <w:rFonts w:ascii="Times New Roman" w:hAnsi="Times New Roman"/>
              <w:sz w:val="24"/>
              <w:szCs w:val="24"/>
            </w:rPr>
            <w:t>Lingard, L., Regehr, G., Orser, B., Reznick, R., Baker, G. R., Doran, D., Espin, S., Bohnen, J., &amp; Whyte, S. (2008). Evaluation of a preoperative checklist and team briefing among surgeons, nurses, and anesthesiologists to reduce failures in communication. Archives of surgery, 143(1), 12-17.</w:t>
          </w:r>
        </w:p>
        <w:p w:rsidR="00ED73FC" w:rsidRPr="00926FDF" w:rsidRDefault="00ED73FC" w:rsidP="00926FDF">
          <w:pPr>
            <w:spacing w:line="480" w:lineRule="auto"/>
            <w:ind w:hanging="720"/>
            <w:jc w:val="both"/>
            <w:rPr>
              <w:rFonts w:ascii="Times New Roman" w:hAnsi="Times New Roman"/>
              <w:sz w:val="24"/>
              <w:szCs w:val="24"/>
            </w:rPr>
          </w:pPr>
          <w:r w:rsidRPr="00926FDF">
            <w:rPr>
              <w:rFonts w:ascii="Times New Roman" w:hAnsi="Times New Roman"/>
              <w:sz w:val="24"/>
              <w:szCs w:val="24"/>
            </w:rPr>
            <w:lastRenderedPageBreak/>
            <w:t xml:space="preserve">Leonard, M. (2004). The human factor: the critical importance of effective teamwork and communication in providing safe care. Quality and Safety in Healthcare, 13(suppl_1), i85–i90. </w:t>
          </w:r>
          <w:hyperlink r:id="rId10" w:history="1">
            <w:r w:rsidRPr="00926FDF">
              <w:rPr>
                <w:rStyle w:val="Hyperlink"/>
                <w:rFonts w:ascii="Times New Roman" w:hAnsi="Times New Roman"/>
                <w:sz w:val="24"/>
                <w:szCs w:val="24"/>
              </w:rPr>
              <w:t>https://doi.org/10.1136/qshc.2004.010033</w:t>
            </w:r>
          </w:hyperlink>
        </w:p>
        <w:p w:rsidR="001E154E" w:rsidRPr="00926FDF" w:rsidRDefault="001E154E" w:rsidP="00926FDF">
          <w:pPr>
            <w:spacing w:line="480" w:lineRule="auto"/>
            <w:ind w:hanging="720"/>
            <w:jc w:val="both"/>
            <w:rPr>
              <w:rFonts w:ascii="Times New Roman" w:hAnsi="Times New Roman"/>
              <w:sz w:val="24"/>
              <w:szCs w:val="24"/>
            </w:rPr>
          </w:pPr>
          <w:r w:rsidRPr="00926FDF">
            <w:rPr>
              <w:rFonts w:ascii="Times New Roman" w:hAnsi="Times New Roman"/>
              <w:sz w:val="24"/>
              <w:szCs w:val="24"/>
              <w:highlight w:val="yellow"/>
            </w:rPr>
            <w:t>McHugh, M., &amp; Lake, E. (2010). Understanding clinical expertise: Nurse education, experience, and the hospital context. Research in Nursing &amp; Health, 33(4), 276- 287.</w:t>
          </w:r>
        </w:p>
        <w:p w:rsidR="00ED73FC" w:rsidRPr="00926FDF" w:rsidRDefault="00ED73FC" w:rsidP="00926FDF">
          <w:pPr>
            <w:spacing w:line="480" w:lineRule="auto"/>
            <w:ind w:hanging="720"/>
            <w:jc w:val="both"/>
            <w:rPr>
              <w:rFonts w:ascii="Times New Roman" w:hAnsi="Times New Roman"/>
              <w:i/>
              <w:sz w:val="24"/>
              <w:szCs w:val="24"/>
            </w:rPr>
          </w:pPr>
          <w:r w:rsidRPr="00926FDF">
            <w:rPr>
              <w:rStyle w:val="Emphasis"/>
              <w:rFonts w:ascii="Times New Roman" w:hAnsi="Times New Roman"/>
              <w:i w:val="0"/>
              <w:sz w:val="24"/>
              <w:szCs w:val="24"/>
            </w:rPr>
            <w:t>Medical error prevention - StatPearls - NCBI bookshelf</w:t>
          </w:r>
          <w:r w:rsidRPr="00926FDF">
            <w:rPr>
              <w:rFonts w:ascii="Times New Roman" w:hAnsi="Times New Roman"/>
              <w:i/>
              <w:sz w:val="24"/>
              <w:szCs w:val="24"/>
            </w:rPr>
            <w:t xml:space="preserve">. (2020, February 5). National Center for Biotechnology Information. Retrieved from </w:t>
          </w:r>
          <w:hyperlink r:id="rId11" w:history="1">
            <w:r w:rsidRPr="00926FDF">
              <w:rPr>
                <w:rStyle w:val="Hyperlink"/>
                <w:rFonts w:ascii="Times New Roman" w:hAnsi="Times New Roman"/>
                <w:i/>
                <w:sz w:val="24"/>
                <w:szCs w:val="24"/>
              </w:rPr>
              <w:t>https://www.ncbi.nlm.nih.gov/books/NBK499956/</w:t>
            </w:r>
          </w:hyperlink>
        </w:p>
        <w:p w:rsidR="00ED73FC" w:rsidRPr="00926FDF" w:rsidRDefault="00ED73FC" w:rsidP="00926FDF">
          <w:pPr>
            <w:spacing w:line="480" w:lineRule="auto"/>
            <w:ind w:hanging="720"/>
            <w:jc w:val="both"/>
            <w:rPr>
              <w:rFonts w:ascii="Times New Roman" w:hAnsi="Times New Roman"/>
              <w:sz w:val="24"/>
              <w:szCs w:val="24"/>
            </w:rPr>
          </w:pPr>
          <w:r w:rsidRPr="00926FDF">
            <w:rPr>
              <w:rFonts w:ascii="Times New Roman" w:hAnsi="Times New Roman"/>
              <w:sz w:val="24"/>
              <w:szCs w:val="24"/>
            </w:rPr>
            <w:t xml:space="preserve">Moore, P. M., Wilkinson, S. S., &amp; Rivera Mercado, S. (2004). Communication skills training for health care professionals working with cancer patients, their families and/or carers. Cochrane Database of Systematic Reviews, 2. </w:t>
          </w:r>
          <w:hyperlink r:id="rId12" w:history="1">
            <w:r w:rsidRPr="00926FDF">
              <w:rPr>
                <w:rStyle w:val="Hyperlink"/>
                <w:rFonts w:ascii="Times New Roman" w:hAnsi="Times New Roman"/>
                <w:sz w:val="24"/>
                <w:szCs w:val="24"/>
              </w:rPr>
              <w:t>https://doi.org/10.1002/14651858.CD003751</w:t>
            </w:r>
          </w:hyperlink>
        </w:p>
        <w:p w:rsidR="00ED73FC" w:rsidRPr="00926FDF" w:rsidRDefault="00ED73FC" w:rsidP="00926FDF">
          <w:pPr>
            <w:spacing w:line="480" w:lineRule="auto"/>
            <w:ind w:hanging="720"/>
            <w:jc w:val="both"/>
            <w:rPr>
              <w:rFonts w:ascii="Times New Roman" w:hAnsi="Times New Roman"/>
              <w:sz w:val="24"/>
              <w:szCs w:val="24"/>
            </w:rPr>
          </w:pPr>
          <w:r w:rsidRPr="00926FDF">
            <w:rPr>
              <w:rFonts w:ascii="Times New Roman" w:hAnsi="Times New Roman"/>
              <w:sz w:val="24"/>
              <w:szCs w:val="24"/>
            </w:rPr>
            <w:t>Schillinger, D., Machtinger, E. L., Wang, F., Chen, L. L., Win, K., Palacios, J., Rodriguez, M., &amp; Bindman, A. (2005). Language, literacy, and communication regarding medication in an anticoagulation clinic: Are pictures better than words? editors. Source Advances in Patient Safety: From Research to Implementation (Volume 2: Concepts and Methodology). Rockville (MD): Agency for Healthcare Research and Quality (US)</w:t>
          </w:r>
        </w:p>
        <w:p w:rsidR="00ED73FC" w:rsidRPr="00926FDF" w:rsidRDefault="00ED73FC" w:rsidP="00926FDF">
          <w:pPr>
            <w:spacing w:line="480" w:lineRule="auto"/>
            <w:ind w:hanging="720"/>
            <w:jc w:val="both"/>
            <w:rPr>
              <w:rFonts w:ascii="Times New Roman" w:hAnsi="Times New Roman"/>
              <w:sz w:val="24"/>
              <w:szCs w:val="24"/>
            </w:rPr>
          </w:pPr>
          <w:r w:rsidRPr="00926FDF">
            <w:rPr>
              <w:rFonts w:ascii="Times New Roman" w:hAnsi="Times New Roman"/>
              <w:sz w:val="24"/>
              <w:szCs w:val="24"/>
            </w:rPr>
            <w:t xml:space="preserve">Solet, D. J., Norvell, J. M., Rutan, G. H., &amp; Frankel, R. M. (2005). Lost in translation: challenges and opportunities in physician-to-physician communication during patient handoffs. Academic Medicine, 80(12), 1094–1099. </w:t>
          </w:r>
          <w:hyperlink r:id="rId13" w:history="1">
            <w:r w:rsidRPr="00926FDF">
              <w:rPr>
                <w:rStyle w:val="Hyperlink"/>
                <w:rFonts w:ascii="Times New Roman" w:hAnsi="Times New Roman"/>
                <w:sz w:val="24"/>
                <w:szCs w:val="24"/>
              </w:rPr>
              <w:t>https://doi.org/10.1097/00001888- 200512000-00005</w:t>
            </w:r>
          </w:hyperlink>
        </w:p>
        <w:p w:rsidR="001E154E" w:rsidRPr="00926FDF" w:rsidRDefault="001E154E" w:rsidP="00926FDF">
          <w:pPr>
            <w:pStyle w:val="NormalWeb"/>
            <w:spacing w:before="0" w:beforeAutospacing="0" w:after="0" w:afterAutospacing="0" w:line="480" w:lineRule="auto"/>
            <w:ind w:left="720" w:right="75" w:hanging="720"/>
            <w:jc w:val="both"/>
          </w:pPr>
          <w:r w:rsidRPr="00926FDF">
            <w:rPr>
              <w:rStyle w:val="Emphasis"/>
              <w:i w:val="0"/>
            </w:rPr>
            <w:t>Strategies to reduce medication errors with reference to... : International Journal of evidence-based healthcare</w:t>
          </w:r>
          <w:r w:rsidRPr="00926FDF">
            <w:rPr>
              <w:i/>
              <w:highlight w:val="yellow"/>
            </w:rPr>
            <w:t>.</w:t>
          </w:r>
          <w:r w:rsidRPr="00926FDF">
            <w:rPr>
              <w:highlight w:val="yellow"/>
            </w:rPr>
            <w:t xml:space="preserve"> (n.d.). LWW. </w:t>
          </w:r>
          <w:hyperlink r:id="rId14" w:history="1">
            <w:r w:rsidRPr="00926FDF">
              <w:rPr>
                <w:rStyle w:val="Hyperlink"/>
              </w:rPr>
              <w:t>https://journals.lww.com/ijebh/Abstract/2006/03000/Strategies_to_reduce_medication_errors_with.2.aspx</w:t>
            </w:r>
          </w:hyperlink>
        </w:p>
        <w:p w:rsidR="00317705" w:rsidRPr="00926FDF" w:rsidRDefault="00317705" w:rsidP="00926FDF">
          <w:pPr>
            <w:pStyle w:val="NormalWeb"/>
            <w:spacing w:before="0" w:beforeAutospacing="0" w:after="0" w:afterAutospacing="0" w:line="480" w:lineRule="auto"/>
            <w:ind w:left="720" w:right="75" w:hanging="720"/>
            <w:jc w:val="both"/>
            <w:rPr>
              <w:i/>
            </w:rPr>
          </w:pPr>
          <w:r w:rsidRPr="00926FDF">
            <w:rPr>
              <w:rStyle w:val="Emphasis"/>
              <w:i w:val="0"/>
            </w:rPr>
            <w:lastRenderedPageBreak/>
            <w:t>Types and causes of medication errors from nurse's viewpoint</w:t>
          </w:r>
          <w:r w:rsidRPr="00926FDF">
            <w:rPr>
              <w:i/>
              <w:highlight w:val="yellow"/>
            </w:rPr>
            <w:t xml:space="preserve">. (2013, May). PubMed Central (PMC). </w:t>
          </w:r>
          <w:hyperlink r:id="rId15" w:history="1">
            <w:r w:rsidRPr="00926FDF">
              <w:rPr>
                <w:rStyle w:val="Hyperlink"/>
                <w:i/>
              </w:rPr>
              <w:t>https://www.ncbi.nlm.nih.gov/pmc/articles/PMC3748543/</w:t>
            </w:r>
          </w:hyperlink>
        </w:p>
        <w:p w:rsidR="00317705" w:rsidRPr="00926FDF" w:rsidRDefault="00317705" w:rsidP="00926FDF">
          <w:pPr>
            <w:pStyle w:val="NormalWeb"/>
            <w:spacing w:before="0" w:beforeAutospacing="0" w:after="0" w:afterAutospacing="0" w:line="480" w:lineRule="auto"/>
            <w:ind w:left="720" w:right="75" w:hanging="720"/>
            <w:jc w:val="both"/>
          </w:pPr>
        </w:p>
        <w:p w:rsidR="001E154E" w:rsidRPr="00926FDF" w:rsidRDefault="001E154E" w:rsidP="00926FDF">
          <w:pPr>
            <w:pStyle w:val="NormalWeb"/>
            <w:spacing w:before="0" w:beforeAutospacing="0" w:after="0" w:afterAutospacing="0" w:line="480" w:lineRule="auto"/>
            <w:ind w:left="720" w:right="75" w:hanging="720"/>
            <w:jc w:val="both"/>
          </w:pPr>
          <w:r w:rsidRPr="00926FDF">
            <w:rPr>
              <w:highlight w:val="yellow"/>
            </w:rPr>
            <w:t>Van Dyck, C., Frese, M., Baer, M., &amp; Sonnentag, S. (2005). Organizational error management culture and its impact on performance: A two-study replication. Journal of Applied Psychology, 90(6), 1228-1240.</w:t>
          </w:r>
        </w:p>
        <w:p w:rsidR="00FE51E0" w:rsidRPr="00926FDF" w:rsidRDefault="00FE51E0" w:rsidP="00926FDF">
          <w:pPr>
            <w:spacing w:line="480" w:lineRule="auto"/>
            <w:ind w:hanging="720"/>
            <w:jc w:val="both"/>
            <w:rPr>
              <w:rFonts w:ascii="Times New Roman" w:hAnsi="Times New Roman"/>
              <w:sz w:val="24"/>
              <w:szCs w:val="24"/>
            </w:rPr>
          </w:pPr>
        </w:p>
        <w:p w:rsidR="00ED73FC" w:rsidRPr="00926FDF" w:rsidRDefault="00841D02" w:rsidP="00926FDF">
          <w:pPr>
            <w:spacing w:line="480" w:lineRule="auto"/>
            <w:ind w:hanging="720"/>
            <w:jc w:val="both"/>
            <w:rPr>
              <w:rFonts w:ascii="Times New Roman" w:hAnsi="Times New Roman"/>
              <w:sz w:val="24"/>
              <w:szCs w:val="24"/>
            </w:rPr>
          </w:pPr>
        </w:p>
      </w:sdtContent>
    </w:sdt>
    <w:p w:rsidR="000628DB" w:rsidRPr="00926FDF" w:rsidRDefault="000628DB" w:rsidP="00926FDF">
      <w:pPr>
        <w:pStyle w:val="NormalWeb"/>
        <w:spacing w:before="0" w:beforeAutospacing="0" w:after="0" w:afterAutospacing="0" w:line="480" w:lineRule="auto"/>
        <w:ind w:left="720" w:right="75" w:hanging="720"/>
        <w:jc w:val="both"/>
      </w:pPr>
    </w:p>
    <w:p w:rsidR="000628DB" w:rsidRPr="00926FDF" w:rsidRDefault="000628DB" w:rsidP="00926FDF">
      <w:pPr>
        <w:spacing w:line="480" w:lineRule="auto"/>
        <w:ind w:firstLine="720"/>
        <w:jc w:val="both"/>
        <w:rPr>
          <w:rFonts w:ascii="Times New Roman" w:hAnsi="Times New Roman"/>
          <w:sz w:val="24"/>
          <w:szCs w:val="24"/>
        </w:rPr>
      </w:pPr>
    </w:p>
    <w:p w:rsidR="00767E3B" w:rsidRPr="00926FDF" w:rsidRDefault="00767E3B" w:rsidP="00926FDF">
      <w:pPr>
        <w:spacing w:line="480" w:lineRule="auto"/>
        <w:ind w:firstLine="720"/>
        <w:jc w:val="both"/>
        <w:rPr>
          <w:rFonts w:ascii="Times New Roman" w:hAnsi="Times New Roman"/>
          <w:sz w:val="24"/>
          <w:szCs w:val="24"/>
        </w:rPr>
      </w:pPr>
    </w:p>
    <w:p w:rsidR="000A3230" w:rsidRPr="00926FDF" w:rsidRDefault="000A3230" w:rsidP="00926FDF">
      <w:pPr>
        <w:spacing w:line="480" w:lineRule="auto"/>
        <w:ind w:firstLine="720"/>
        <w:jc w:val="both"/>
        <w:rPr>
          <w:rStyle w:val="Strong"/>
          <w:rFonts w:ascii="Times New Roman" w:hAnsi="Times New Roman"/>
          <w:b w:val="0"/>
          <w:sz w:val="24"/>
          <w:szCs w:val="24"/>
        </w:rPr>
      </w:pPr>
    </w:p>
    <w:p w:rsidR="00B00321" w:rsidRPr="00926FDF" w:rsidRDefault="00B00321" w:rsidP="00926FDF">
      <w:pPr>
        <w:spacing w:line="480" w:lineRule="auto"/>
        <w:ind w:firstLine="720"/>
        <w:jc w:val="both"/>
        <w:rPr>
          <w:rFonts w:ascii="Times New Roman" w:hAnsi="Times New Roman"/>
          <w:b/>
          <w:sz w:val="24"/>
          <w:szCs w:val="24"/>
        </w:rPr>
      </w:pPr>
    </w:p>
    <w:p w:rsidR="004A2DC2" w:rsidRPr="00926FDF" w:rsidRDefault="004A2DC2" w:rsidP="00926FDF">
      <w:pPr>
        <w:spacing w:line="480" w:lineRule="auto"/>
        <w:ind w:firstLine="720"/>
        <w:jc w:val="both"/>
        <w:rPr>
          <w:rFonts w:ascii="Times New Roman" w:hAnsi="Times New Roman"/>
          <w:sz w:val="24"/>
          <w:szCs w:val="24"/>
        </w:rPr>
      </w:pPr>
    </w:p>
    <w:p w:rsidR="00EC035A" w:rsidRPr="00926FDF" w:rsidRDefault="00EC035A" w:rsidP="00926FDF">
      <w:pPr>
        <w:spacing w:line="480" w:lineRule="auto"/>
        <w:jc w:val="both"/>
        <w:rPr>
          <w:rFonts w:ascii="Times New Roman" w:hAnsi="Times New Roman"/>
          <w:sz w:val="24"/>
          <w:szCs w:val="24"/>
          <w:lang w:val="en-US"/>
        </w:rPr>
      </w:pPr>
    </w:p>
    <w:sectPr w:rsidR="00EC035A" w:rsidRPr="00926FDF" w:rsidSect="00EC035A">
      <w:headerReference w:type="default" r:id="rId16"/>
      <w:headerReference w:type="first" r:id="rId1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6B3B" w:rsidRDefault="00076B3B" w:rsidP="00EC035A">
      <w:pPr>
        <w:spacing w:after="0" w:line="240" w:lineRule="auto"/>
      </w:pPr>
      <w:r>
        <w:separator/>
      </w:r>
    </w:p>
  </w:endnote>
  <w:endnote w:type="continuationSeparator" w:id="1">
    <w:p w:rsidR="00076B3B" w:rsidRDefault="00076B3B" w:rsidP="00EC03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6B3B" w:rsidRDefault="00076B3B" w:rsidP="00EC035A">
      <w:pPr>
        <w:spacing w:after="0" w:line="240" w:lineRule="auto"/>
      </w:pPr>
      <w:r>
        <w:separator/>
      </w:r>
    </w:p>
  </w:footnote>
  <w:footnote w:type="continuationSeparator" w:id="1">
    <w:p w:rsidR="00076B3B" w:rsidRDefault="00076B3B" w:rsidP="00EC035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F5C" w:rsidRPr="00EC035A" w:rsidRDefault="00BD2F5C" w:rsidP="00EC035A">
    <w:pPr>
      <w:pStyle w:val="Header"/>
      <w:spacing w:line="480" w:lineRule="auto"/>
      <w:rPr>
        <w:rFonts w:ascii="Times New Roman" w:hAnsi="Times New Roman"/>
        <w:caps/>
        <w:sz w:val="24"/>
        <w:szCs w:val="24"/>
      </w:rPr>
    </w:pPr>
    <w:r>
      <w:tab/>
    </w:r>
    <w:r>
      <w:tab/>
    </w:r>
    <w:r>
      <w:tab/>
    </w:r>
    <w:r>
      <w:tab/>
    </w:r>
    <w:r>
      <w:tab/>
    </w:r>
    <w:r>
      <w:tab/>
    </w:r>
    <w:r>
      <w:tab/>
    </w:r>
    <w:r>
      <w:tab/>
    </w:r>
    <w:r w:rsidRPr="00EC035A">
      <w:rPr>
        <w:rFonts w:ascii="Times New Roman" w:hAnsi="Times New Roman"/>
        <w:caps/>
        <w:sz w:val="24"/>
        <w:szCs w:val="24"/>
      </w:rPr>
      <w:t>Root-Cause Analysis and SAFETY Improvement Plan</w:t>
    </w:r>
  </w:p>
  <w:p w:rsidR="00BD2F5C" w:rsidRDefault="00E833AD" w:rsidP="00E833AD">
    <w:pPr>
      <w:pStyle w:val="Header"/>
    </w:pPr>
    <w:r w:rsidRPr="00E833AD">
      <w:rPr>
        <w:rFonts w:ascii="Times New Roman" w:hAnsi="Times New Roman"/>
        <w:sz w:val="24"/>
        <w:szCs w:val="24"/>
      </w:rPr>
      <w:t>ROOT- CAUSE ANALYIS AND SAFETY IMPROVEMENT PLAN</w:t>
    </w:r>
    <w:r>
      <w:tab/>
    </w:r>
    <w:fldSimple w:instr=" PAGE   \* MERGEFORMAT ">
      <w:r w:rsidR="00926FDF">
        <w:rPr>
          <w:noProof/>
        </w:rPr>
        <w:t>10</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F5C" w:rsidRDefault="00E833AD">
    <w:pPr>
      <w:pStyle w:val="Header"/>
      <w:jc w:val="right"/>
    </w:pPr>
    <w:r>
      <w:rPr>
        <w:rFonts w:ascii="Times New Roman" w:hAnsi="Times New Roman"/>
        <w:sz w:val="24"/>
        <w:szCs w:val="24"/>
      </w:rPr>
      <w:t>Running Head: ROOT-CAUSE ANALYSIS AND SAFETY IMPROVEMENT LAN</w:t>
    </w:r>
    <w:r>
      <w:rPr>
        <w:rFonts w:ascii="Times New Roman" w:hAnsi="Times New Roman"/>
        <w:sz w:val="24"/>
        <w:szCs w:val="24"/>
      </w:rPr>
      <w:tab/>
    </w:r>
    <w:r w:rsidR="00841D02" w:rsidRPr="00EC035A">
      <w:rPr>
        <w:rFonts w:ascii="Times New Roman" w:hAnsi="Times New Roman"/>
        <w:sz w:val="24"/>
        <w:szCs w:val="24"/>
      </w:rPr>
      <w:fldChar w:fldCharType="begin"/>
    </w:r>
    <w:r w:rsidR="00BD2F5C" w:rsidRPr="00EC035A">
      <w:rPr>
        <w:rFonts w:ascii="Times New Roman" w:hAnsi="Times New Roman"/>
        <w:sz w:val="24"/>
        <w:szCs w:val="24"/>
      </w:rPr>
      <w:instrText xml:space="preserve"> PAGE   \* MERGEFORMAT </w:instrText>
    </w:r>
    <w:r w:rsidR="00841D02" w:rsidRPr="00EC035A">
      <w:rPr>
        <w:rFonts w:ascii="Times New Roman" w:hAnsi="Times New Roman"/>
        <w:sz w:val="24"/>
        <w:szCs w:val="24"/>
      </w:rPr>
      <w:fldChar w:fldCharType="separate"/>
    </w:r>
    <w:r w:rsidR="00926FDF">
      <w:rPr>
        <w:rFonts w:ascii="Times New Roman" w:hAnsi="Times New Roman"/>
        <w:noProof/>
        <w:sz w:val="24"/>
        <w:szCs w:val="24"/>
      </w:rPr>
      <w:t>1</w:t>
    </w:r>
    <w:r w:rsidR="00841D02" w:rsidRPr="00EC035A">
      <w:rPr>
        <w:rFonts w:ascii="Times New Roman" w:hAnsi="Times New Roman"/>
        <w:sz w:val="24"/>
        <w:szCs w:val="24"/>
      </w:rPr>
      <w:fldChar w:fldCharType="end"/>
    </w:r>
  </w:p>
  <w:p w:rsidR="00BD2F5C" w:rsidRDefault="00BD2F5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C035A"/>
    <w:rsid w:val="00044A4A"/>
    <w:rsid w:val="000628DB"/>
    <w:rsid w:val="00076B3B"/>
    <w:rsid w:val="000A3230"/>
    <w:rsid w:val="000B7C4A"/>
    <w:rsid w:val="000E7772"/>
    <w:rsid w:val="001E154E"/>
    <w:rsid w:val="00201DF0"/>
    <w:rsid w:val="00317705"/>
    <w:rsid w:val="003957F3"/>
    <w:rsid w:val="0046010D"/>
    <w:rsid w:val="004A2DC2"/>
    <w:rsid w:val="004D44C4"/>
    <w:rsid w:val="00502369"/>
    <w:rsid w:val="0057203B"/>
    <w:rsid w:val="005C317C"/>
    <w:rsid w:val="005D29B0"/>
    <w:rsid w:val="00703D6C"/>
    <w:rsid w:val="00747636"/>
    <w:rsid w:val="00754A25"/>
    <w:rsid w:val="0075519D"/>
    <w:rsid w:val="00767E3B"/>
    <w:rsid w:val="00813A20"/>
    <w:rsid w:val="00841D02"/>
    <w:rsid w:val="00856CF9"/>
    <w:rsid w:val="00857CF2"/>
    <w:rsid w:val="008E69B3"/>
    <w:rsid w:val="00922438"/>
    <w:rsid w:val="00926FDF"/>
    <w:rsid w:val="00954ABD"/>
    <w:rsid w:val="009854DD"/>
    <w:rsid w:val="009C6458"/>
    <w:rsid w:val="00A13977"/>
    <w:rsid w:val="00A77E55"/>
    <w:rsid w:val="00A963ED"/>
    <w:rsid w:val="00AE34AA"/>
    <w:rsid w:val="00AF69F7"/>
    <w:rsid w:val="00B00321"/>
    <w:rsid w:val="00BD2F5C"/>
    <w:rsid w:val="00C905EA"/>
    <w:rsid w:val="00E0539D"/>
    <w:rsid w:val="00E25BB8"/>
    <w:rsid w:val="00E833AD"/>
    <w:rsid w:val="00EC035A"/>
    <w:rsid w:val="00ED73FC"/>
    <w:rsid w:val="00FE51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772"/>
    <w:pPr>
      <w:spacing w:after="200" w:line="276" w:lineRule="auto"/>
    </w:pPr>
    <w:rPr>
      <w:sz w:val="22"/>
      <w:szCs w:val="22"/>
      <w:lang w:eastAsia="en-US"/>
    </w:rPr>
  </w:style>
  <w:style w:type="paragraph" w:styleId="Heading1">
    <w:name w:val="heading 1"/>
    <w:basedOn w:val="Normal"/>
    <w:next w:val="Normal"/>
    <w:link w:val="Heading1Char"/>
    <w:uiPriority w:val="9"/>
    <w:qFormat/>
    <w:rsid w:val="00ED73FC"/>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bidi="en-US"/>
    </w:rPr>
  </w:style>
  <w:style w:type="paragraph" w:styleId="Heading2">
    <w:name w:val="heading 2"/>
    <w:basedOn w:val="Normal"/>
    <w:next w:val="Normal"/>
    <w:link w:val="Heading2Char"/>
    <w:uiPriority w:val="9"/>
    <w:unhideWhenUsed/>
    <w:qFormat/>
    <w:rsid w:val="00EC035A"/>
    <w:pPr>
      <w:keepNext/>
      <w:keepLines/>
      <w:spacing w:before="40" w:after="0" w:line="240" w:lineRule="auto"/>
      <w:contextualSpacing/>
      <w:outlineLvl w:val="1"/>
    </w:pPr>
    <w:rPr>
      <w:rFonts w:ascii="Cambria" w:eastAsia="Times New Roman" w:hAnsi="Cambria"/>
      <w:color w:val="365F9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03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035A"/>
  </w:style>
  <w:style w:type="paragraph" w:styleId="Footer">
    <w:name w:val="footer"/>
    <w:basedOn w:val="Normal"/>
    <w:link w:val="FooterChar"/>
    <w:uiPriority w:val="99"/>
    <w:semiHidden/>
    <w:unhideWhenUsed/>
    <w:rsid w:val="00EC035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C035A"/>
  </w:style>
  <w:style w:type="character" w:customStyle="1" w:styleId="e24kjd">
    <w:name w:val="e24kjd"/>
    <w:basedOn w:val="DefaultParagraphFont"/>
    <w:rsid w:val="00EC035A"/>
  </w:style>
  <w:style w:type="character" w:customStyle="1" w:styleId="Heading2Char">
    <w:name w:val="Heading 2 Char"/>
    <w:basedOn w:val="DefaultParagraphFont"/>
    <w:link w:val="Heading2"/>
    <w:uiPriority w:val="9"/>
    <w:rsid w:val="00EC035A"/>
    <w:rPr>
      <w:rFonts w:ascii="Cambria" w:eastAsia="Times New Roman" w:hAnsi="Cambria" w:cs="Times New Roman"/>
      <w:color w:val="365F91"/>
      <w:sz w:val="26"/>
      <w:szCs w:val="26"/>
      <w:lang w:val="en-US"/>
    </w:rPr>
  </w:style>
  <w:style w:type="character" w:customStyle="1" w:styleId="st">
    <w:name w:val="st"/>
    <w:basedOn w:val="DefaultParagraphFont"/>
    <w:rsid w:val="00E0539D"/>
  </w:style>
  <w:style w:type="character" w:styleId="Emphasis">
    <w:name w:val="Emphasis"/>
    <w:basedOn w:val="DefaultParagraphFont"/>
    <w:uiPriority w:val="20"/>
    <w:qFormat/>
    <w:rsid w:val="00E0539D"/>
    <w:rPr>
      <w:i/>
      <w:iCs/>
    </w:rPr>
  </w:style>
  <w:style w:type="character" w:styleId="Strong">
    <w:name w:val="Strong"/>
    <w:basedOn w:val="DefaultParagraphFont"/>
    <w:uiPriority w:val="22"/>
    <w:qFormat/>
    <w:rsid w:val="00B00321"/>
    <w:rPr>
      <w:b/>
      <w:bCs/>
    </w:rPr>
  </w:style>
  <w:style w:type="character" w:styleId="Hyperlink">
    <w:name w:val="Hyperlink"/>
    <w:basedOn w:val="DefaultParagraphFont"/>
    <w:uiPriority w:val="99"/>
    <w:unhideWhenUsed/>
    <w:rsid w:val="000628DB"/>
    <w:rPr>
      <w:color w:val="0000FF"/>
      <w:u w:val="single"/>
    </w:rPr>
  </w:style>
  <w:style w:type="paragraph" w:styleId="NormalWeb">
    <w:name w:val="Normal (Web)"/>
    <w:basedOn w:val="Normal"/>
    <w:uiPriority w:val="99"/>
    <w:semiHidden/>
    <w:unhideWhenUsed/>
    <w:rsid w:val="000628DB"/>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lid-translation">
    <w:name w:val="tlid-translation"/>
    <w:basedOn w:val="DefaultParagraphFont"/>
    <w:rsid w:val="00A963ED"/>
  </w:style>
  <w:style w:type="character" w:customStyle="1" w:styleId="Heading1Char">
    <w:name w:val="Heading 1 Char"/>
    <w:basedOn w:val="DefaultParagraphFont"/>
    <w:link w:val="Heading1"/>
    <w:uiPriority w:val="9"/>
    <w:rsid w:val="00ED73FC"/>
    <w:rPr>
      <w:rFonts w:asciiTheme="majorHAnsi" w:eastAsiaTheme="majorEastAsia" w:hAnsiTheme="majorHAnsi" w:cstheme="majorBidi"/>
      <w:b/>
      <w:bCs/>
      <w:color w:val="365F91" w:themeColor="accent1" w:themeShade="BF"/>
      <w:sz w:val="28"/>
      <w:szCs w:val="28"/>
      <w:lang w:val="en-US" w:eastAsia="en-US" w:bidi="en-US"/>
    </w:rPr>
  </w:style>
  <w:style w:type="paragraph" w:styleId="BalloonText">
    <w:name w:val="Balloon Text"/>
    <w:basedOn w:val="Normal"/>
    <w:link w:val="BalloonTextChar"/>
    <w:uiPriority w:val="99"/>
    <w:semiHidden/>
    <w:unhideWhenUsed/>
    <w:rsid w:val="00ED73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73FC"/>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30421808">
      <w:bodyDiv w:val="1"/>
      <w:marLeft w:val="0"/>
      <w:marRight w:val="0"/>
      <w:marTop w:val="0"/>
      <w:marBottom w:val="0"/>
      <w:divBdr>
        <w:top w:val="none" w:sz="0" w:space="0" w:color="auto"/>
        <w:left w:val="none" w:sz="0" w:space="0" w:color="auto"/>
        <w:bottom w:val="none" w:sz="0" w:space="0" w:color="auto"/>
        <w:right w:val="none" w:sz="0" w:space="0" w:color="auto"/>
      </w:divBdr>
    </w:div>
    <w:div w:id="309791982">
      <w:bodyDiv w:val="1"/>
      <w:marLeft w:val="0"/>
      <w:marRight w:val="0"/>
      <w:marTop w:val="0"/>
      <w:marBottom w:val="0"/>
      <w:divBdr>
        <w:top w:val="none" w:sz="0" w:space="0" w:color="auto"/>
        <w:left w:val="none" w:sz="0" w:space="0" w:color="auto"/>
        <w:bottom w:val="none" w:sz="0" w:space="0" w:color="auto"/>
        <w:right w:val="none" w:sz="0" w:space="0" w:color="auto"/>
      </w:divBdr>
    </w:div>
    <w:div w:id="775519263">
      <w:bodyDiv w:val="1"/>
      <w:marLeft w:val="0"/>
      <w:marRight w:val="0"/>
      <w:marTop w:val="0"/>
      <w:marBottom w:val="0"/>
      <w:divBdr>
        <w:top w:val="none" w:sz="0" w:space="0" w:color="auto"/>
        <w:left w:val="none" w:sz="0" w:space="0" w:color="auto"/>
        <w:bottom w:val="none" w:sz="0" w:space="0" w:color="auto"/>
        <w:right w:val="none" w:sz="0" w:space="0" w:color="auto"/>
      </w:divBdr>
    </w:div>
    <w:div w:id="1027372727">
      <w:bodyDiv w:val="1"/>
      <w:marLeft w:val="0"/>
      <w:marRight w:val="0"/>
      <w:marTop w:val="0"/>
      <w:marBottom w:val="0"/>
      <w:divBdr>
        <w:top w:val="none" w:sz="0" w:space="0" w:color="auto"/>
        <w:left w:val="none" w:sz="0" w:space="0" w:color="auto"/>
        <w:bottom w:val="none" w:sz="0" w:space="0" w:color="auto"/>
        <w:right w:val="none" w:sz="0" w:space="0" w:color="auto"/>
      </w:divBdr>
    </w:div>
    <w:div w:id="1394893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mericanpregnancy.org/your-pregnancy/fatigue-during-pregnancy/" TargetMode="External"/><Relationship Id="rId13" Type="http://schemas.openxmlformats.org/officeDocument/2006/relationships/hyperlink" Target="https://doi.org/10.1097/00001888-%20200512000-00005"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86/s12245-017-0149-4" TargetMode="External"/><Relationship Id="rId12" Type="http://schemas.openxmlformats.org/officeDocument/2006/relationships/hyperlink" Target="https://doi.org/10.1002/14651858.CD003751"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ncbi.nlm.nih.gov/books/NBK499956/" TargetMode="External"/><Relationship Id="rId5" Type="http://schemas.openxmlformats.org/officeDocument/2006/relationships/footnotes" Target="footnotes.xml"/><Relationship Id="rId15" Type="http://schemas.openxmlformats.org/officeDocument/2006/relationships/hyperlink" Target="https://www.ncbi.nlm.nih.gov/pmc/articles/PMC3748543/" TargetMode="External"/><Relationship Id="rId10" Type="http://schemas.openxmlformats.org/officeDocument/2006/relationships/hyperlink" Target="https://doi.org/10.1136/qshc.2004.010033"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ashp.org/-/media/assets/policy-guidelines/docs/guidelines/preventing-medication-errors-hospitals.ashx" TargetMode="External"/><Relationship Id="rId14" Type="http://schemas.openxmlformats.org/officeDocument/2006/relationships/hyperlink" Target="https://journals.lww.com/ijebh/Abstract/2006/03000/Strategies_to_reduce_medication_errors_with.2.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93216F-8CEA-4A1E-9A32-C90DAF0BF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2078</Words>
  <Characters>11849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2020-07-18T10:09:00Z</dcterms:created>
  <dcterms:modified xsi:type="dcterms:W3CDTF">2020-07-18T10:09:00Z</dcterms:modified>
</cp:coreProperties>
</file>